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2F" w:rsidRPr="005B013B" w:rsidRDefault="009E1A2F" w:rsidP="00D37478">
      <w:pPr>
        <w:pStyle w:val="BodyA"/>
        <w:spacing w:after="360" w:line="312" w:lineRule="auto"/>
        <w:rPr>
          <w:b/>
          <w:lang w:val="en-GB"/>
        </w:rPr>
      </w:pPr>
      <w:r w:rsidRPr="005B013B">
        <w:rPr>
          <w:b/>
          <w:lang w:val="en-GB"/>
        </w:rPr>
        <w:t xml:space="preserve">Devolving Probation </w:t>
      </w:r>
      <w:r w:rsidR="005B013B" w:rsidRPr="005B013B">
        <w:rPr>
          <w:b/>
          <w:lang w:val="en-GB"/>
        </w:rPr>
        <w:t>Services</w:t>
      </w:r>
      <w:r w:rsidRPr="005B013B">
        <w:rPr>
          <w:b/>
          <w:lang w:val="en-GB"/>
        </w:rPr>
        <w:t xml:space="preserve">: An ethnographic study of the implementation of the Transforming </w:t>
      </w:r>
      <w:r w:rsidR="005B013B" w:rsidRPr="005B013B">
        <w:rPr>
          <w:b/>
          <w:lang w:val="en-GB"/>
        </w:rPr>
        <w:t>Rehabilitation</w:t>
      </w:r>
      <w:r w:rsidRPr="005B013B">
        <w:rPr>
          <w:b/>
          <w:lang w:val="en-GB"/>
        </w:rPr>
        <w:t xml:space="preserve"> Agenda (ESRC Ref ES/M000028/1)</w:t>
      </w:r>
    </w:p>
    <w:p w:rsidR="009E1A2F" w:rsidRDefault="005B013B" w:rsidP="00D37478">
      <w:pPr>
        <w:pStyle w:val="BodyA"/>
        <w:spacing w:after="360" w:line="312" w:lineRule="auto"/>
        <w:rPr>
          <w:lang w:val="en-GB"/>
        </w:rPr>
      </w:pPr>
      <w:r>
        <w:rPr>
          <w:lang w:val="en-GB"/>
        </w:rPr>
        <w:t>Millings, M., Burke, L. and Robinson, G.</w:t>
      </w:r>
      <w:r>
        <w:rPr>
          <w:lang w:val="en-GB"/>
        </w:rPr>
        <w:tab/>
      </w:r>
      <w:r>
        <w:rPr>
          <w:lang w:val="en-GB"/>
        </w:rPr>
        <w:tab/>
        <w:t>01_02_2016</w:t>
      </w:r>
    </w:p>
    <w:p w:rsidR="005B013B" w:rsidRDefault="005B013B" w:rsidP="00D37478">
      <w:pPr>
        <w:pStyle w:val="BodyA"/>
        <w:spacing w:after="360" w:line="312" w:lineRule="auto"/>
        <w:rPr>
          <w:lang w:val="en-GB"/>
        </w:rPr>
      </w:pPr>
    </w:p>
    <w:p w:rsidR="005B013B" w:rsidRPr="005B013B" w:rsidRDefault="005B013B" w:rsidP="00D37478">
      <w:pPr>
        <w:pStyle w:val="BodyA"/>
        <w:spacing w:after="360" w:line="312" w:lineRule="auto"/>
        <w:rPr>
          <w:b/>
          <w:sz w:val="32"/>
          <w:szCs w:val="32"/>
          <w:u w:val="single"/>
          <w:lang w:val="en-GB"/>
        </w:rPr>
      </w:pPr>
      <w:r w:rsidRPr="005B013B">
        <w:rPr>
          <w:b/>
          <w:sz w:val="32"/>
          <w:szCs w:val="32"/>
          <w:u w:val="single"/>
          <w:lang w:val="en-GB"/>
        </w:rPr>
        <w:t>Guide to the Data Storage</w:t>
      </w:r>
    </w:p>
    <w:p w:rsidR="00D37478" w:rsidRPr="00D37478" w:rsidRDefault="00D37478" w:rsidP="00D37478">
      <w:pPr>
        <w:pStyle w:val="BodyA"/>
        <w:spacing w:after="360" w:line="312" w:lineRule="auto"/>
        <w:rPr>
          <w:lang w:val="en-GB"/>
        </w:rPr>
      </w:pPr>
      <w:r w:rsidRPr="00D37478">
        <w:rPr>
          <w:lang w:val="en-GB"/>
        </w:rPr>
        <w:t xml:space="preserve">In September 2013 the Ministry of Justice published details of how its Transforming Rehabilitation agenda would restructure the delivery of offender management services in England and Wales.  Within these reforms approximately 70% of the activities carried out by a public sector probation service were to be transferred to the private sector through the establishment of 21 community rehabilitation companies (CRCs).  This research draws on observation and interview-based research </w:t>
      </w:r>
      <w:r>
        <w:rPr>
          <w:lang w:val="en-GB"/>
        </w:rPr>
        <w:t xml:space="preserve">that took place between March 2014 until June 2015 </w:t>
      </w:r>
      <w:r w:rsidRPr="00D37478">
        <w:rPr>
          <w:lang w:val="en-GB"/>
        </w:rPr>
        <w:t xml:space="preserve">to capture, in one case study area, the experience of staff during this period of </w:t>
      </w:r>
      <w:r w:rsidR="009E1A2F">
        <w:rPr>
          <w:lang w:val="en-GB"/>
        </w:rPr>
        <w:t xml:space="preserve">unprecedented </w:t>
      </w:r>
      <w:r w:rsidRPr="00D37478">
        <w:rPr>
          <w:lang w:val="en-GB"/>
        </w:rPr>
        <w:t xml:space="preserve">organisational change through the creation, early development, and sale of a CRC. </w:t>
      </w:r>
    </w:p>
    <w:p w:rsidR="009E1A2F" w:rsidRDefault="00D37478" w:rsidP="00D37478">
      <w:pPr>
        <w:pStyle w:val="BodyA"/>
        <w:spacing w:after="360" w:line="312" w:lineRule="auto"/>
        <w:jc w:val="both"/>
      </w:pPr>
      <w:r>
        <w:t>The project</w:t>
      </w:r>
      <w:r>
        <w:rPr>
          <w:lang w:val="en-GB"/>
        </w:rPr>
        <w:t xml:space="preserve"> </w:t>
      </w:r>
      <w:r w:rsidRPr="00806B8D">
        <w:t>capitalised on a unique opportunity to observe this period of profound change in one case study area and allo</w:t>
      </w:r>
      <w:r>
        <w:t xml:space="preserve">wed us to capture the </w:t>
      </w:r>
      <w:r w:rsidRPr="00806B8D">
        <w:t xml:space="preserve">experiences of workers we tracked from immediately prior to the dissolving of the existing public sector probation service (from March 2014) through to their operation within a private sector based community rehabilitation company (in June 2015).  </w:t>
      </w:r>
      <w:r>
        <w:t xml:space="preserve">The research team conducted </w:t>
      </w:r>
      <w:r w:rsidRPr="00806B8D">
        <w:t xml:space="preserve">semi-ethnographic fieldwork </w:t>
      </w:r>
      <w:r>
        <w:t xml:space="preserve">observing </w:t>
      </w:r>
      <w:r w:rsidRPr="00806B8D">
        <w:t>management meetings/decision-making processes</w:t>
      </w:r>
      <w:r>
        <w:t xml:space="preserve"> throughout this time, attending staff </w:t>
      </w:r>
      <w:r w:rsidRPr="00806B8D">
        <w:t>forums and team meetings</w:t>
      </w:r>
      <w:r>
        <w:t xml:space="preserve"> routinely throughout the fieldwork.  The research </w:t>
      </w:r>
      <w:r w:rsidR="00E3439A">
        <w:t xml:space="preserve">team </w:t>
      </w:r>
      <w:r>
        <w:t>also conducted semi-structured interviews with staff from all levels of the organization.  For data storage purposes the participants were divided into three categories, namely: 1) 8 members of the Senior Management Team (SMT); 2) 20 Middle Managers (MM) and 3) 38 members of the wider staff group covering Probation Officers, Probation Service Officers, Programme Tutors and Support/Corporate Staff.  Four ‘sweeps’ of research activity took plac</w:t>
      </w:r>
      <w:r w:rsidR="009E1A2F">
        <w:t>e between April-June</w:t>
      </w:r>
      <w:r>
        <w:t xml:space="preserve"> 2014; </w:t>
      </w:r>
      <w:r w:rsidR="009E1A2F">
        <w:t>September</w:t>
      </w:r>
      <w:r>
        <w:t>-</w:t>
      </w:r>
      <w:r w:rsidR="009E1A2F">
        <w:t>November</w:t>
      </w:r>
      <w:r>
        <w:t xml:space="preserve"> 2014; December-</w:t>
      </w:r>
      <w:r w:rsidR="009E1A2F">
        <w:t>January</w:t>
      </w:r>
      <w:r>
        <w:t xml:space="preserve"> 2015 and then </w:t>
      </w:r>
      <w:r w:rsidR="009E1A2F">
        <w:t>March</w:t>
      </w:r>
      <w:r>
        <w:t>-</w:t>
      </w:r>
      <w:r w:rsidR="009E1A2F">
        <w:t>April</w:t>
      </w:r>
      <w:r>
        <w:t xml:space="preserve"> 2015</w:t>
      </w:r>
      <w:r w:rsidR="009E1A2F">
        <w:t xml:space="preserve"> to coincide with significant moments in the transition process.  For data storage purposes all the interview transcripts for members of the Senior Management Team are stored in one zip folder, whilst zip folders have been created for Staff Group and Middle Managers participants that are grouped by sweep of interview activity.  The below tables should help users identify where transcripts sit within the broader development of the project and the Interview Schedules and Consent Form document identifies the questions used for each sweep.</w:t>
      </w:r>
    </w:p>
    <w:p w:rsidR="009E1A2F" w:rsidRDefault="009E1A2F" w:rsidP="00D37478">
      <w:pPr>
        <w:pStyle w:val="BodyA"/>
        <w:spacing w:after="360" w:line="312" w:lineRule="auto"/>
        <w:jc w:val="both"/>
      </w:pPr>
    </w:p>
    <w:p w:rsidR="009E1A2F" w:rsidRDefault="009E1A2F" w:rsidP="00D37478">
      <w:pPr>
        <w:pStyle w:val="BodyA"/>
        <w:spacing w:after="360" w:line="312" w:lineRule="auto"/>
        <w:jc w:val="both"/>
      </w:pPr>
      <w:r>
        <w:lastRenderedPageBreak/>
        <w:t>First, the below table identifies the distribution of interviews with members of the Senior Management Group;</w:t>
      </w:r>
    </w:p>
    <w:tbl>
      <w:tblPr>
        <w:tblStyle w:val="TableGrid"/>
        <w:tblpPr w:leftFromText="180" w:rightFromText="180" w:vertAnchor="text" w:horzAnchor="page" w:tblpX="1183" w:tblpY="235"/>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B8B7"/>
        <w:tblLook w:val="04A0" w:firstRow="1" w:lastRow="0" w:firstColumn="1" w:lastColumn="0" w:noHBand="0" w:noVBand="1"/>
      </w:tblPr>
      <w:tblGrid>
        <w:gridCol w:w="1351"/>
        <w:gridCol w:w="1571"/>
        <w:gridCol w:w="1572"/>
        <w:gridCol w:w="1571"/>
        <w:gridCol w:w="1572"/>
        <w:gridCol w:w="1572"/>
      </w:tblGrid>
      <w:tr w:rsidR="005B013B" w:rsidRPr="005B013B" w:rsidTr="005B013B">
        <w:trPr>
          <w:trHeight w:val="659"/>
        </w:trPr>
        <w:tc>
          <w:tcPr>
            <w:tcW w:w="1351" w:type="dxa"/>
            <w:shd w:val="clear" w:color="auto" w:fill="000000"/>
            <w:vAlign w:val="center"/>
          </w:tcPr>
          <w:p w:rsidR="005B013B" w:rsidRPr="005B013B" w:rsidRDefault="0089234F" w:rsidP="005B013B">
            <w:pPr>
              <w:jc w:val="center"/>
              <w:rPr>
                <w:rFonts w:ascii="Calibri" w:hAnsi="Calibri" w:cs="Times New Roman"/>
                <w:color w:val="FFFFFF"/>
                <w:sz w:val="18"/>
                <w:szCs w:val="18"/>
              </w:rPr>
            </w:pPr>
            <w:r>
              <w:rPr>
                <w:rFonts w:ascii="Calibri" w:hAnsi="Calibri" w:cs="Times New Roman"/>
                <w:color w:val="FFFFFF"/>
                <w:sz w:val="18"/>
                <w:szCs w:val="18"/>
              </w:rPr>
              <w:t>SMT Participant</w:t>
            </w:r>
          </w:p>
        </w:tc>
        <w:tc>
          <w:tcPr>
            <w:tcW w:w="1571" w:type="dxa"/>
            <w:shd w:val="clear" w:color="auto" w:fill="000000"/>
            <w:vAlign w:val="center"/>
          </w:tcPr>
          <w:p w:rsidR="005B013B" w:rsidRPr="005B013B" w:rsidRDefault="005B013B" w:rsidP="005B013B">
            <w:pPr>
              <w:jc w:val="center"/>
              <w:rPr>
                <w:rFonts w:ascii="Calibri" w:hAnsi="Calibri" w:cs="Times New Roman"/>
                <w:i/>
                <w:color w:val="FFFFFF"/>
                <w:sz w:val="18"/>
                <w:szCs w:val="18"/>
              </w:rPr>
            </w:pPr>
            <w:r w:rsidRPr="005B013B">
              <w:rPr>
                <w:rFonts w:ascii="Calibri" w:hAnsi="Calibri" w:cs="Times New Roman"/>
                <w:i/>
                <w:color w:val="FFFFFF"/>
                <w:sz w:val="18"/>
                <w:szCs w:val="18"/>
              </w:rPr>
              <w:t xml:space="preserve">Sweep 1 </w:t>
            </w:r>
          </w:p>
          <w:p w:rsidR="005B013B" w:rsidRPr="005B013B" w:rsidRDefault="005B013B" w:rsidP="005B013B">
            <w:pPr>
              <w:jc w:val="center"/>
              <w:rPr>
                <w:rFonts w:ascii="Calibri" w:hAnsi="Calibri" w:cs="Times New Roman"/>
                <w:i/>
                <w:color w:val="FFFFFF"/>
                <w:sz w:val="18"/>
                <w:szCs w:val="18"/>
              </w:rPr>
            </w:pPr>
            <w:r w:rsidRPr="005B013B">
              <w:rPr>
                <w:rFonts w:ascii="Calibri" w:hAnsi="Calibri" w:cs="Times New Roman"/>
                <w:i/>
                <w:color w:val="FFFFFF"/>
                <w:sz w:val="18"/>
                <w:szCs w:val="18"/>
              </w:rPr>
              <w:t>April-</w:t>
            </w:r>
            <w:r>
              <w:rPr>
                <w:rFonts w:ascii="Calibri" w:hAnsi="Calibri" w:cs="Times New Roman"/>
                <w:i/>
                <w:color w:val="FFFFFF"/>
                <w:sz w:val="18"/>
                <w:szCs w:val="18"/>
              </w:rPr>
              <w:t>June</w:t>
            </w:r>
            <w:r w:rsidRPr="005B013B">
              <w:rPr>
                <w:rFonts w:ascii="Calibri" w:hAnsi="Calibri" w:cs="Times New Roman"/>
                <w:i/>
                <w:color w:val="FFFFFF"/>
                <w:sz w:val="18"/>
                <w:szCs w:val="18"/>
              </w:rPr>
              <w:t xml:space="preserve"> 2014</w:t>
            </w:r>
          </w:p>
        </w:tc>
        <w:tc>
          <w:tcPr>
            <w:tcW w:w="1572" w:type="dxa"/>
            <w:shd w:val="clear" w:color="auto" w:fill="000000"/>
            <w:vAlign w:val="center"/>
          </w:tcPr>
          <w:p w:rsidR="005B013B" w:rsidRPr="005B013B" w:rsidRDefault="005B013B" w:rsidP="005B013B">
            <w:pPr>
              <w:jc w:val="center"/>
              <w:rPr>
                <w:rFonts w:ascii="Calibri" w:hAnsi="Calibri" w:cs="Times New Roman"/>
                <w:i/>
                <w:color w:val="FFFFFF"/>
                <w:sz w:val="18"/>
                <w:szCs w:val="18"/>
              </w:rPr>
            </w:pPr>
            <w:r w:rsidRPr="005B013B">
              <w:rPr>
                <w:rFonts w:ascii="Calibri" w:hAnsi="Calibri" w:cs="Times New Roman"/>
                <w:i/>
                <w:color w:val="FFFFFF"/>
                <w:sz w:val="18"/>
                <w:szCs w:val="18"/>
              </w:rPr>
              <w:t xml:space="preserve">Sweep 2 </w:t>
            </w:r>
          </w:p>
          <w:p w:rsidR="005B013B" w:rsidRPr="005B013B" w:rsidRDefault="005B013B" w:rsidP="005B013B">
            <w:pPr>
              <w:jc w:val="center"/>
              <w:rPr>
                <w:rFonts w:ascii="Calibri" w:hAnsi="Calibri" w:cs="Times New Roman"/>
                <w:i/>
                <w:color w:val="FFFFFF"/>
                <w:sz w:val="18"/>
                <w:szCs w:val="18"/>
              </w:rPr>
            </w:pPr>
            <w:r w:rsidRPr="005B013B">
              <w:rPr>
                <w:rFonts w:ascii="Calibri" w:hAnsi="Calibri" w:cs="Times New Roman"/>
                <w:i/>
                <w:color w:val="FFFFFF"/>
                <w:sz w:val="18"/>
                <w:szCs w:val="18"/>
              </w:rPr>
              <w:t>July-August 2014</w:t>
            </w:r>
          </w:p>
        </w:tc>
        <w:tc>
          <w:tcPr>
            <w:tcW w:w="1571" w:type="dxa"/>
            <w:shd w:val="clear" w:color="auto" w:fill="000000"/>
            <w:vAlign w:val="center"/>
          </w:tcPr>
          <w:p w:rsidR="005B013B" w:rsidRPr="005B013B" w:rsidRDefault="005B013B" w:rsidP="005B013B">
            <w:pPr>
              <w:jc w:val="center"/>
              <w:rPr>
                <w:rFonts w:ascii="Calibri" w:hAnsi="Calibri" w:cs="Times New Roman"/>
                <w:i/>
                <w:color w:val="FFFFFF"/>
                <w:sz w:val="18"/>
                <w:szCs w:val="18"/>
              </w:rPr>
            </w:pPr>
            <w:r w:rsidRPr="005B013B">
              <w:rPr>
                <w:rFonts w:ascii="Calibri" w:hAnsi="Calibri" w:cs="Times New Roman"/>
                <w:i/>
                <w:color w:val="FFFFFF"/>
                <w:sz w:val="18"/>
                <w:szCs w:val="18"/>
              </w:rPr>
              <w:t>Sweep 3</w:t>
            </w:r>
          </w:p>
          <w:p w:rsidR="005B013B" w:rsidRPr="005B013B" w:rsidRDefault="005B013B" w:rsidP="005B013B">
            <w:pPr>
              <w:jc w:val="center"/>
              <w:rPr>
                <w:rFonts w:ascii="Calibri" w:hAnsi="Calibri" w:cs="Times New Roman"/>
                <w:i/>
                <w:color w:val="FFFFFF"/>
                <w:sz w:val="18"/>
                <w:szCs w:val="18"/>
              </w:rPr>
            </w:pPr>
            <w:r w:rsidRPr="005B013B">
              <w:rPr>
                <w:rFonts w:ascii="Calibri" w:hAnsi="Calibri" w:cs="Times New Roman"/>
                <w:i/>
                <w:color w:val="FFFFFF"/>
                <w:sz w:val="18"/>
                <w:szCs w:val="18"/>
              </w:rPr>
              <w:t>Dec-January 2015</w:t>
            </w:r>
          </w:p>
        </w:tc>
        <w:tc>
          <w:tcPr>
            <w:tcW w:w="1572" w:type="dxa"/>
            <w:shd w:val="clear" w:color="auto" w:fill="000000"/>
            <w:vAlign w:val="center"/>
          </w:tcPr>
          <w:p w:rsidR="005B013B" w:rsidRPr="005B013B" w:rsidRDefault="005B013B" w:rsidP="005B013B">
            <w:pPr>
              <w:jc w:val="center"/>
              <w:rPr>
                <w:rFonts w:ascii="Calibri" w:hAnsi="Calibri" w:cs="Times New Roman"/>
                <w:i/>
                <w:color w:val="FFFFFF"/>
                <w:sz w:val="18"/>
                <w:szCs w:val="18"/>
              </w:rPr>
            </w:pPr>
            <w:r w:rsidRPr="005B013B">
              <w:rPr>
                <w:rFonts w:ascii="Calibri" w:hAnsi="Calibri" w:cs="Times New Roman"/>
                <w:i/>
                <w:color w:val="FFFFFF"/>
                <w:sz w:val="18"/>
                <w:szCs w:val="18"/>
              </w:rPr>
              <w:t>Sweep 4</w:t>
            </w:r>
          </w:p>
          <w:p w:rsidR="005B013B" w:rsidRPr="005B013B" w:rsidRDefault="005B013B" w:rsidP="005B013B">
            <w:pPr>
              <w:jc w:val="center"/>
              <w:rPr>
                <w:rFonts w:ascii="Calibri" w:hAnsi="Calibri" w:cs="Times New Roman"/>
                <w:i/>
                <w:color w:val="FFFFFF"/>
                <w:sz w:val="18"/>
                <w:szCs w:val="18"/>
              </w:rPr>
            </w:pPr>
            <w:r w:rsidRPr="005B013B">
              <w:rPr>
                <w:rFonts w:ascii="Calibri" w:hAnsi="Calibri" w:cs="Times New Roman"/>
                <w:i/>
                <w:color w:val="FFFFFF"/>
                <w:sz w:val="18"/>
                <w:szCs w:val="18"/>
              </w:rPr>
              <w:t>Feb-March 2015</w:t>
            </w:r>
          </w:p>
        </w:tc>
        <w:tc>
          <w:tcPr>
            <w:tcW w:w="1572" w:type="dxa"/>
            <w:shd w:val="clear" w:color="auto" w:fill="000000"/>
            <w:vAlign w:val="center"/>
          </w:tcPr>
          <w:p w:rsidR="005B013B" w:rsidRDefault="005B013B" w:rsidP="005B013B">
            <w:pPr>
              <w:jc w:val="center"/>
              <w:rPr>
                <w:rFonts w:ascii="Calibri" w:hAnsi="Calibri" w:cs="Times New Roman"/>
                <w:i/>
                <w:color w:val="FFFFFF"/>
                <w:sz w:val="18"/>
                <w:szCs w:val="18"/>
              </w:rPr>
            </w:pPr>
            <w:r w:rsidRPr="005B013B">
              <w:rPr>
                <w:rFonts w:ascii="Calibri" w:hAnsi="Calibri" w:cs="Times New Roman"/>
                <w:i/>
                <w:color w:val="FFFFFF"/>
                <w:sz w:val="18"/>
                <w:szCs w:val="18"/>
              </w:rPr>
              <w:t>Sweep 5</w:t>
            </w:r>
          </w:p>
          <w:p w:rsidR="0089234F" w:rsidRPr="005B013B" w:rsidRDefault="0089234F" w:rsidP="005B013B">
            <w:pPr>
              <w:jc w:val="center"/>
              <w:rPr>
                <w:rFonts w:ascii="Calibri" w:hAnsi="Calibri" w:cs="Times New Roman"/>
                <w:i/>
                <w:color w:val="FFFFFF"/>
                <w:sz w:val="18"/>
                <w:szCs w:val="18"/>
              </w:rPr>
            </w:pPr>
            <w:r>
              <w:rPr>
                <w:rFonts w:ascii="Calibri" w:hAnsi="Calibri" w:cs="Times New Roman"/>
                <w:i/>
                <w:color w:val="FFFFFF"/>
                <w:sz w:val="18"/>
                <w:szCs w:val="18"/>
              </w:rPr>
              <w:t>May-June 2015</w:t>
            </w:r>
          </w:p>
        </w:tc>
      </w:tr>
      <w:tr w:rsidR="005B013B" w:rsidRPr="005B013B" w:rsidTr="00C46053">
        <w:trPr>
          <w:trHeight w:val="659"/>
        </w:trPr>
        <w:tc>
          <w:tcPr>
            <w:tcW w:w="1351" w:type="dxa"/>
            <w:shd w:val="clear" w:color="auto" w:fill="000000"/>
            <w:vAlign w:val="center"/>
          </w:tcPr>
          <w:p w:rsidR="005B013B" w:rsidRPr="005B013B" w:rsidRDefault="005B013B" w:rsidP="005B013B">
            <w:pPr>
              <w:jc w:val="center"/>
              <w:rPr>
                <w:rFonts w:ascii="Calibri" w:hAnsi="Calibri" w:cs="Times New Roman"/>
                <w:color w:val="FFFFFF"/>
                <w:sz w:val="18"/>
                <w:szCs w:val="18"/>
              </w:rPr>
            </w:pPr>
            <w:r>
              <w:rPr>
                <w:rFonts w:ascii="Calibri" w:hAnsi="Calibri" w:cs="Times New Roman"/>
                <w:color w:val="FFFFFF"/>
                <w:sz w:val="18"/>
                <w:szCs w:val="18"/>
              </w:rPr>
              <w:t>SMT01</w:t>
            </w:r>
          </w:p>
        </w:tc>
        <w:tc>
          <w:tcPr>
            <w:tcW w:w="1571"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r w:rsidRPr="0089234F">
              <w:rPr>
                <w:rFonts w:ascii="Calibri" w:hAnsi="Calibri" w:cs="Times New Roman"/>
                <w:color w:val="FFFFFF"/>
                <w:sz w:val="18"/>
                <w:szCs w:val="18"/>
              </w:rPr>
              <w:t>SMT01_Int01</w:t>
            </w:r>
          </w:p>
        </w:tc>
        <w:tc>
          <w:tcPr>
            <w:tcW w:w="1572"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r w:rsidRPr="0089234F">
              <w:rPr>
                <w:rFonts w:ascii="Calibri" w:hAnsi="Calibri" w:cs="Times New Roman"/>
                <w:color w:val="FFFFFF"/>
                <w:sz w:val="18"/>
                <w:szCs w:val="18"/>
              </w:rPr>
              <w:t>SMT01_Int02</w:t>
            </w:r>
          </w:p>
        </w:tc>
        <w:tc>
          <w:tcPr>
            <w:tcW w:w="1571"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r w:rsidRPr="0089234F">
              <w:rPr>
                <w:rFonts w:ascii="Calibri" w:hAnsi="Calibri" w:cs="Times New Roman"/>
                <w:color w:val="FFFFFF"/>
                <w:sz w:val="18"/>
                <w:szCs w:val="18"/>
              </w:rPr>
              <w:t>SMT01_Int03</w:t>
            </w:r>
          </w:p>
        </w:tc>
        <w:tc>
          <w:tcPr>
            <w:tcW w:w="1572"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r w:rsidRPr="0089234F">
              <w:rPr>
                <w:rFonts w:ascii="Calibri" w:hAnsi="Calibri" w:cs="Times New Roman"/>
                <w:color w:val="FFFFFF"/>
                <w:sz w:val="18"/>
                <w:szCs w:val="18"/>
              </w:rPr>
              <w:t>SMT01_Int04</w:t>
            </w:r>
          </w:p>
        </w:tc>
        <w:tc>
          <w:tcPr>
            <w:tcW w:w="1572"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r w:rsidRPr="0089234F">
              <w:rPr>
                <w:rFonts w:ascii="Calibri" w:hAnsi="Calibri" w:cs="Times New Roman"/>
                <w:color w:val="FFFFFF"/>
                <w:sz w:val="18"/>
                <w:szCs w:val="18"/>
              </w:rPr>
              <w:t>SMT01_Int05</w:t>
            </w:r>
          </w:p>
        </w:tc>
      </w:tr>
      <w:tr w:rsidR="005B013B" w:rsidRPr="005B013B" w:rsidTr="00C46053">
        <w:trPr>
          <w:trHeight w:val="659"/>
        </w:trPr>
        <w:tc>
          <w:tcPr>
            <w:tcW w:w="1351" w:type="dxa"/>
            <w:shd w:val="clear" w:color="auto" w:fill="000000"/>
            <w:vAlign w:val="center"/>
          </w:tcPr>
          <w:p w:rsidR="005B013B" w:rsidRPr="005B013B" w:rsidRDefault="005B013B" w:rsidP="005B013B">
            <w:pPr>
              <w:jc w:val="center"/>
              <w:rPr>
                <w:rFonts w:ascii="Calibri" w:hAnsi="Calibri" w:cs="Times New Roman"/>
                <w:color w:val="FFFFFF"/>
                <w:sz w:val="18"/>
                <w:szCs w:val="18"/>
              </w:rPr>
            </w:pPr>
            <w:r>
              <w:rPr>
                <w:rFonts w:ascii="Calibri" w:hAnsi="Calibri" w:cs="Times New Roman"/>
                <w:color w:val="FFFFFF"/>
                <w:sz w:val="18"/>
                <w:szCs w:val="18"/>
              </w:rPr>
              <w:t>SMT02</w:t>
            </w:r>
          </w:p>
        </w:tc>
        <w:tc>
          <w:tcPr>
            <w:tcW w:w="1571"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r w:rsidRPr="0089234F">
              <w:rPr>
                <w:rFonts w:ascii="Calibri" w:hAnsi="Calibri" w:cs="Times New Roman"/>
                <w:color w:val="FFFFFF"/>
                <w:sz w:val="18"/>
                <w:szCs w:val="18"/>
              </w:rPr>
              <w:t>SMT02_Int01</w:t>
            </w:r>
          </w:p>
        </w:tc>
        <w:tc>
          <w:tcPr>
            <w:tcW w:w="1572"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r w:rsidRPr="0089234F">
              <w:rPr>
                <w:rFonts w:ascii="Calibri" w:hAnsi="Calibri" w:cs="Times New Roman"/>
                <w:color w:val="FFFFFF"/>
                <w:sz w:val="18"/>
                <w:szCs w:val="18"/>
              </w:rPr>
              <w:t>SMT02_Int02</w:t>
            </w:r>
          </w:p>
        </w:tc>
        <w:tc>
          <w:tcPr>
            <w:tcW w:w="1571"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r w:rsidRPr="0089234F">
              <w:rPr>
                <w:rFonts w:ascii="Calibri" w:hAnsi="Calibri" w:cs="Times New Roman"/>
                <w:color w:val="FFFFFF"/>
                <w:sz w:val="18"/>
                <w:szCs w:val="18"/>
              </w:rPr>
              <w:t>SMT02_Int03</w:t>
            </w:r>
          </w:p>
        </w:tc>
        <w:tc>
          <w:tcPr>
            <w:tcW w:w="1572"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r w:rsidRPr="0089234F">
              <w:rPr>
                <w:rFonts w:ascii="Calibri" w:hAnsi="Calibri" w:cs="Times New Roman"/>
                <w:color w:val="FFFFFF"/>
                <w:sz w:val="18"/>
                <w:szCs w:val="18"/>
              </w:rPr>
              <w:t>SMT02_Int04</w:t>
            </w:r>
          </w:p>
        </w:tc>
        <w:tc>
          <w:tcPr>
            <w:tcW w:w="1572"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r w:rsidRPr="0089234F">
              <w:rPr>
                <w:rFonts w:ascii="Calibri" w:hAnsi="Calibri" w:cs="Times New Roman"/>
                <w:color w:val="FFFFFF"/>
                <w:sz w:val="18"/>
                <w:szCs w:val="18"/>
              </w:rPr>
              <w:t>SMT02_Int05</w:t>
            </w:r>
          </w:p>
        </w:tc>
      </w:tr>
      <w:tr w:rsidR="005B013B" w:rsidRPr="005B013B" w:rsidTr="00C46053">
        <w:trPr>
          <w:trHeight w:val="659"/>
        </w:trPr>
        <w:tc>
          <w:tcPr>
            <w:tcW w:w="1351" w:type="dxa"/>
            <w:shd w:val="clear" w:color="auto" w:fill="000000"/>
            <w:vAlign w:val="center"/>
          </w:tcPr>
          <w:p w:rsidR="005B013B" w:rsidRPr="005B013B" w:rsidRDefault="005B013B" w:rsidP="005B013B">
            <w:pPr>
              <w:jc w:val="center"/>
              <w:rPr>
                <w:rFonts w:ascii="Calibri" w:hAnsi="Calibri" w:cs="Times New Roman"/>
                <w:color w:val="FFFFFF"/>
                <w:sz w:val="18"/>
                <w:szCs w:val="18"/>
              </w:rPr>
            </w:pPr>
            <w:r>
              <w:rPr>
                <w:rFonts w:ascii="Calibri" w:hAnsi="Calibri" w:cs="Times New Roman"/>
                <w:color w:val="FFFFFF"/>
                <w:sz w:val="18"/>
                <w:szCs w:val="18"/>
              </w:rPr>
              <w:t>SMT03</w:t>
            </w:r>
          </w:p>
        </w:tc>
        <w:tc>
          <w:tcPr>
            <w:tcW w:w="1571"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sidRPr="0089234F">
              <w:rPr>
                <w:rFonts w:ascii="Calibri" w:hAnsi="Calibri" w:cs="Times New Roman"/>
                <w:color w:val="FFFFFF"/>
                <w:sz w:val="18"/>
                <w:szCs w:val="18"/>
              </w:rPr>
              <w:t>3</w:t>
            </w:r>
            <w:r w:rsidRPr="0089234F">
              <w:rPr>
                <w:rFonts w:ascii="Calibri" w:hAnsi="Calibri" w:cs="Times New Roman"/>
                <w:color w:val="FFFFFF"/>
                <w:sz w:val="18"/>
                <w:szCs w:val="18"/>
              </w:rPr>
              <w:t>_Int0</w:t>
            </w:r>
            <w:r w:rsidR="0089234F" w:rsidRPr="0089234F">
              <w:rPr>
                <w:rFonts w:ascii="Calibri" w:hAnsi="Calibri" w:cs="Times New Roman"/>
                <w:color w:val="FFFFFF"/>
                <w:sz w:val="18"/>
                <w:szCs w:val="18"/>
              </w:rPr>
              <w:t>1</w:t>
            </w:r>
          </w:p>
        </w:tc>
        <w:tc>
          <w:tcPr>
            <w:tcW w:w="1572"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p>
        </w:tc>
        <w:tc>
          <w:tcPr>
            <w:tcW w:w="1571"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3</w:t>
            </w:r>
            <w:r w:rsidRPr="0089234F">
              <w:rPr>
                <w:rFonts w:ascii="Calibri" w:hAnsi="Calibri" w:cs="Times New Roman"/>
                <w:color w:val="FFFFFF"/>
                <w:sz w:val="18"/>
                <w:szCs w:val="18"/>
              </w:rPr>
              <w:t>_Int0</w:t>
            </w:r>
            <w:r w:rsidR="0089234F">
              <w:rPr>
                <w:rFonts w:ascii="Calibri" w:hAnsi="Calibri" w:cs="Times New Roman"/>
                <w:color w:val="FFFFFF"/>
                <w:sz w:val="18"/>
                <w:szCs w:val="18"/>
              </w:rPr>
              <w:t>2</w:t>
            </w:r>
          </w:p>
        </w:tc>
        <w:tc>
          <w:tcPr>
            <w:tcW w:w="1572"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p>
        </w:tc>
        <w:tc>
          <w:tcPr>
            <w:tcW w:w="1572"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3</w:t>
            </w:r>
            <w:r w:rsidRPr="0089234F">
              <w:rPr>
                <w:rFonts w:ascii="Calibri" w:hAnsi="Calibri" w:cs="Times New Roman"/>
                <w:color w:val="FFFFFF"/>
                <w:sz w:val="18"/>
                <w:szCs w:val="18"/>
              </w:rPr>
              <w:t>_Int03</w:t>
            </w:r>
          </w:p>
        </w:tc>
      </w:tr>
      <w:tr w:rsidR="005B013B" w:rsidRPr="005B013B" w:rsidTr="00C46053">
        <w:trPr>
          <w:trHeight w:val="659"/>
        </w:trPr>
        <w:tc>
          <w:tcPr>
            <w:tcW w:w="1351" w:type="dxa"/>
            <w:shd w:val="clear" w:color="auto" w:fill="000000"/>
            <w:vAlign w:val="center"/>
          </w:tcPr>
          <w:p w:rsidR="005B013B" w:rsidRPr="005B013B" w:rsidRDefault="00C46053" w:rsidP="005B013B">
            <w:pPr>
              <w:jc w:val="center"/>
              <w:rPr>
                <w:rFonts w:ascii="Calibri" w:hAnsi="Calibri" w:cs="Times New Roman"/>
                <w:color w:val="FFFFFF"/>
                <w:sz w:val="18"/>
                <w:szCs w:val="18"/>
              </w:rPr>
            </w:pPr>
            <w:r>
              <w:rPr>
                <w:rFonts w:ascii="Calibri" w:hAnsi="Calibri" w:cs="Times New Roman"/>
                <w:color w:val="FFFFFF"/>
                <w:sz w:val="18"/>
                <w:szCs w:val="18"/>
              </w:rPr>
              <w:t>SMT04</w:t>
            </w:r>
          </w:p>
        </w:tc>
        <w:tc>
          <w:tcPr>
            <w:tcW w:w="1571"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sidRPr="0089234F">
              <w:rPr>
                <w:rFonts w:ascii="Calibri" w:hAnsi="Calibri" w:cs="Times New Roman"/>
                <w:color w:val="FFFFFF"/>
                <w:sz w:val="18"/>
                <w:szCs w:val="18"/>
              </w:rPr>
              <w:t>4</w:t>
            </w:r>
            <w:r w:rsidRPr="0089234F">
              <w:rPr>
                <w:rFonts w:ascii="Calibri" w:hAnsi="Calibri" w:cs="Times New Roman"/>
                <w:color w:val="FFFFFF"/>
                <w:sz w:val="18"/>
                <w:szCs w:val="18"/>
              </w:rPr>
              <w:t>_Int0</w:t>
            </w:r>
            <w:r w:rsidR="0089234F" w:rsidRPr="0089234F">
              <w:rPr>
                <w:rFonts w:ascii="Calibri" w:hAnsi="Calibri" w:cs="Times New Roman"/>
                <w:color w:val="FFFFFF"/>
                <w:sz w:val="18"/>
                <w:szCs w:val="18"/>
              </w:rPr>
              <w:t>1</w:t>
            </w:r>
          </w:p>
        </w:tc>
        <w:tc>
          <w:tcPr>
            <w:tcW w:w="1572"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p>
        </w:tc>
        <w:tc>
          <w:tcPr>
            <w:tcW w:w="1571"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4</w:t>
            </w:r>
            <w:r w:rsidRPr="0089234F">
              <w:rPr>
                <w:rFonts w:ascii="Calibri" w:hAnsi="Calibri" w:cs="Times New Roman"/>
                <w:color w:val="FFFFFF"/>
                <w:sz w:val="18"/>
                <w:szCs w:val="18"/>
              </w:rPr>
              <w:t>_Int0</w:t>
            </w:r>
            <w:r w:rsidR="0089234F">
              <w:rPr>
                <w:rFonts w:ascii="Calibri" w:hAnsi="Calibri" w:cs="Times New Roman"/>
                <w:color w:val="FFFFFF"/>
                <w:sz w:val="18"/>
                <w:szCs w:val="18"/>
              </w:rPr>
              <w:t>2</w:t>
            </w:r>
          </w:p>
        </w:tc>
        <w:tc>
          <w:tcPr>
            <w:tcW w:w="1572"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p>
        </w:tc>
        <w:tc>
          <w:tcPr>
            <w:tcW w:w="1572"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4</w:t>
            </w:r>
            <w:r w:rsidRPr="0089234F">
              <w:rPr>
                <w:rFonts w:ascii="Calibri" w:hAnsi="Calibri" w:cs="Times New Roman"/>
                <w:color w:val="FFFFFF"/>
                <w:sz w:val="18"/>
                <w:szCs w:val="18"/>
              </w:rPr>
              <w:t>_Int03</w:t>
            </w:r>
          </w:p>
        </w:tc>
      </w:tr>
      <w:tr w:rsidR="005B013B" w:rsidRPr="005B013B" w:rsidTr="00C46053">
        <w:trPr>
          <w:trHeight w:val="659"/>
        </w:trPr>
        <w:tc>
          <w:tcPr>
            <w:tcW w:w="1351" w:type="dxa"/>
            <w:shd w:val="clear" w:color="auto" w:fill="000000"/>
            <w:vAlign w:val="center"/>
          </w:tcPr>
          <w:p w:rsidR="005B013B" w:rsidRPr="005B013B" w:rsidRDefault="00C46053" w:rsidP="005B013B">
            <w:pPr>
              <w:jc w:val="center"/>
              <w:rPr>
                <w:rFonts w:ascii="Calibri" w:hAnsi="Calibri" w:cs="Times New Roman"/>
                <w:color w:val="FFFFFF"/>
                <w:sz w:val="18"/>
                <w:szCs w:val="18"/>
              </w:rPr>
            </w:pPr>
            <w:r>
              <w:rPr>
                <w:rFonts w:ascii="Calibri" w:hAnsi="Calibri" w:cs="Times New Roman"/>
                <w:color w:val="FFFFFF"/>
                <w:sz w:val="18"/>
                <w:szCs w:val="18"/>
              </w:rPr>
              <w:t>SMT05</w:t>
            </w:r>
          </w:p>
        </w:tc>
        <w:tc>
          <w:tcPr>
            <w:tcW w:w="1571"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sidRPr="0089234F">
              <w:rPr>
                <w:rFonts w:ascii="Calibri" w:hAnsi="Calibri" w:cs="Times New Roman"/>
                <w:color w:val="FFFFFF"/>
                <w:sz w:val="18"/>
                <w:szCs w:val="18"/>
              </w:rPr>
              <w:t>5</w:t>
            </w:r>
            <w:r w:rsidRPr="0089234F">
              <w:rPr>
                <w:rFonts w:ascii="Calibri" w:hAnsi="Calibri" w:cs="Times New Roman"/>
                <w:color w:val="FFFFFF"/>
                <w:sz w:val="18"/>
                <w:szCs w:val="18"/>
              </w:rPr>
              <w:t>_Int0</w:t>
            </w:r>
            <w:r w:rsidR="0089234F" w:rsidRPr="0089234F">
              <w:rPr>
                <w:rFonts w:ascii="Calibri" w:hAnsi="Calibri" w:cs="Times New Roman"/>
                <w:color w:val="FFFFFF"/>
                <w:sz w:val="18"/>
                <w:szCs w:val="18"/>
              </w:rPr>
              <w:t>1</w:t>
            </w:r>
          </w:p>
        </w:tc>
        <w:tc>
          <w:tcPr>
            <w:tcW w:w="1572"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sidRPr="0089234F">
              <w:rPr>
                <w:rFonts w:ascii="Calibri" w:hAnsi="Calibri" w:cs="Times New Roman"/>
                <w:color w:val="FFFFFF"/>
                <w:sz w:val="18"/>
                <w:szCs w:val="18"/>
              </w:rPr>
              <w:t>5</w:t>
            </w:r>
            <w:r w:rsidRPr="0089234F">
              <w:rPr>
                <w:rFonts w:ascii="Calibri" w:hAnsi="Calibri" w:cs="Times New Roman"/>
                <w:color w:val="FFFFFF"/>
                <w:sz w:val="18"/>
                <w:szCs w:val="18"/>
              </w:rPr>
              <w:t>_Int0</w:t>
            </w:r>
            <w:r w:rsidR="0089234F" w:rsidRPr="0089234F">
              <w:rPr>
                <w:rFonts w:ascii="Calibri" w:hAnsi="Calibri" w:cs="Times New Roman"/>
                <w:color w:val="FFFFFF"/>
                <w:sz w:val="18"/>
                <w:szCs w:val="18"/>
              </w:rPr>
              <w:t>2</w:t>
            </w:r>
          </w:p>
        </w:tc>
        <w:tc>
          <w:tcPr>
            <w:tcW w:w="1571"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5</w:t>
            </w:r>
            <w:r w:rsidRPr="0089234F">
              <w:rPr>
                <w:rFonts w:ascii="Calibri" w:hAnsi="Calibri" w:cs="Times New Roman"/>
                <w:color w:val="FFFFFF"/>
                <w:sz w:val="18"/>
                <w:szCs w:val="18"/>
              </w:rPr>
              <w:t>_Int03</w:t>
            </w:r>
          </w:p>
        </w:tc>
        <w:tc>
          <w:tcPr>
            <w:tcW w:w="1572"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5</w:t>
            </w:r>
            <w:r w:rsidRPr="0089234F">
              <w:rPr>
                <w:rFonts w:ascii="Calibri" w:hAnsi="Calibri" w:cs="Times New Roman"/>
                <w:color w:val="FFFFFF"/>
                <w:sz w:val="18"/>
                <w:szCs w:val="18"/>
              </w:rPr>
              <w:t>_Int0</w:t>
            </w:r>
            <w:r w:rsidR="0089234F">
              <w:rPr>
                <w:rFonts w:ascii="Calibri" w:hAnsi="Calibri" w:cs="Times New Roman"/>
                <w:color w:val="FFFFFF"/>
                <w:sz w:val="18"/>
                <w:szCs w:val="18"/>
              </w:rPr>
              <w:t>4</w:t>
            </w:r>
          </w:p>
        </w:tc>
        <w:tc>
          <w:tcPr>
            <w:tcW w:w="1572"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5</w:t>
            </w:r>
            <w:r w:rsidRPr="0089234F">
              <w:rPr>
                <w:rFonts w:ascii="Calibri" w:hAnsi="Calibri" w:cs="Times New Roman"/>
                <w:color w:val="FFFFFF"/>
                <w:sz w:val="18"/>
                <w:szCs w:val="18"/>
              </w:rPr>
              <w:t>_Int0</w:t>
            </w:r>
            <w:r w:rsidR="0089234F">
              <w:rPr>
                <w:rFonts w:ascii="Calibri" w:hAnsi="Calibri" w:cs="Times New Roman"/>
                <w:color w:val="FFFFFF"/>
                <w:sz w:val="18"/>
                <w:szCs w:val="18"/>
              </w:rPr>
              <w:t>5</w:t>
            </w:r>
          </w:p>
        </w:tc>
      </w:tr>
      <w:tr w:rsidR="005B013B" w:rsidRPr="005B013B" w:rsidTr="00C46053">
        <w:trPr>
          <w:trHeight w:val="659"/>
        </w:trPr>
        <w:tc>
          <w:tcPr>
            <w:tcW w:w="1351" w:type="dxa"/>
            <w:shd w:val="clear" w:color="auto" w:fill="000000"/>
            <w:vAlign w:val="center"/>
          </w:tcPr>
          <w:p w:rsidR="005B013B" w:rsidRPr="005B013B" w:rsidRDefault="00C46053" w:rsidP="005B013B">
            <w:pPr>
              <w:jc w:val="center"/>
              <w:rPr>
                <w:rFonts w:ascii="Calibri" w:hAnsi="Calibri" w:cs="Times New Roman"/>
                <w:color w:val="FFFFFF"/>
                <w:sz w:val="18"/>
                <w:szCs w:val="18"/>
              </w:rPr>
            </w:pPr>
            <w:r>
              <w:rPr>
                <w:rFonts w:ascii="Calibri" w:hAnsi="Calibri" w:cs="Times New Roman"/>
                <w:color w:val="FFFFFF"/>
                <w:sz w:val="18"/>
                <w:szCs w:val="18"/>
              </w:rPr>
              <w:t>SMT06</w:t>
            </w:r>
          </w:p>
        </w:tc>
        <w:tc>
          <w:tcPr>
            <w:tcW w:w="1571"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sidRPr="0089234F">
              <w:rPr>
                <w:rFonts w:ascii="Calibri" w:hAnsi="Calibri" w:cs="Times New Roman"/>
                <w:color w:val="FFFFFF"/>
                <w:sz w:val="18"/>
                <w:szCs w:val="18"/>
              </w:rPr>
              <w:t xml:space="preserve">6 </w:t>
            </w:r>
            <w:r w:rsidRPr="0089234F">
              <w:rPr>
                <w:rFonts w:ascii="Calibri" w:hAnsi="Calibri" w:cs="Times New Roman"/>
                <w:color w:val="FFFFFF"/>
                <w:sz w:val="18"/>
                <w:szCs w:val="18"/>
              </w:rPr>
              <w:t>Int0</w:t>
            </w:r>
            <w:r w:rsidR="0089234F" w:rsidRPr="0089234F">
              <w:rPr>
                <w:rFonts w:ascii="Calibri" w:hAnsi="Calibri" w:cs="Times New Roman"/>
                <w:color w:val="FFFFFF"/>
                <w:sz w:val="18"/>
                <w:szCs w:val="18"/>
              </w:rPr>
              <w:t>1</w:t>
            </w:r>
          </w:p>
        </w:tc>
        <w:tc>
          <w:tcPr>
            <w:tcW w:w="1572"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6</w:t>
            </w:r>
            <w:r w:rsidRPr="0089234F">
              <w:rPr>
                <w:rFonts w:ascii="Calibri" w:hAnsi="Calibri" w:cs="Times New Roman"/>
                <w:color w:val="FFFFFF"/>
                <w:sz w:val="18"/>
                <w:szCs w:val="18"/>
              </w:rPr>
              <w:t>_Int0</w:t>
            </w:r>
            <w:r w:rsidR="0089234F" w:rsidRPr="0089234F">
              <w:rPr>
                <w:rFonts w:ascii="Calibri" w:hAnsi="Calibri" w:cs="Times New Roman"/>
                <w:color w:val="FFFFFF"/>
                <w:sz w:val="18"/>
                <w:szCs w:val="18"/>
              </w:rPr>
              <w:t>2</w:t>
            </w:r>
          </w:p>
        </w:tc>
        <w:tc>
          <w:tcPr>
            <w:tcW w:w="1571"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6</w:t>
            </w:r>
            <w:r w:rsidRPr="0089234F">
              <w:rPr>
                <w:rFonts w:ascii="Calibri" w:hAnsi="Calibri" w:cs="Times New Roman"/>
                <w:color w:val="FFFFFF"/>
                <w:sz w:val="18"/>
                <w:szCs w:val="18"/>
              </w:rPr>
              <w:t>_Int03</w:t>
            </w:r>
          </w:p>
        </w:tc>
        <w:tc>
          <w:tcPr>
            <w:tcW w:w="1572" w:type="dxa"/>
            <w:shd w:val="clear" w:color="auto" w:fill="808080" w:themeFill="background1" w:themeFillShade="80"/>
            <w:vAlign w:val="center"/>
          </w:tcPr>
          <w:p w:rsidR="005B013B" w:rsidRPr="005B013B" w:rsidRDefault="005B013B" w:rsidP="005B013B">
            <w:pPr>
              <w:jc w:val="center"/>
              <w:rPr>
                <w:rFonts w:ascii="Calibri" w:hAnsi="Calibri" w:cs="Times New Roman"/>
                <w:color w:val="FFFFFF"/>
                <w:sz w:val="18"/>
                <w:szCs w:val="18"/>
              </w:rPr>
            </w:pPr>
          </w:p>
        </w:tc>
        <w:tc>
          <w:tcPr>
            <w:tcW w:w="1572"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6</w:t>
            </w:r>
            <w:r w:rsidRPr="0089234F">
              <w:rPr>
                <w:rFonts w:ascii="Calibri" w:hAnsi="Calibri" w:cs="Times New Roman"/>
                <w:color w:val="FFFFFF"/>
                <w:sz w:val="18"/>
                <w:szCs w:val="18"/>
              </w:rPr>
              <w:t>_Int0</w:t>
            </w:r>
            <w:r w:rsidR="0089234F">
              <w:rPr>
                <w:rFonts w:ascii="Calibri" w:hAnsi="Calibri" w:cs="Times New Roman"/>
                <w:color w:val="FFFFFF"/>
                <w:sz w:val="18"/>
                <w:szCs w:val="18"/>
              </w:rPr>
              <w:t>4</w:t>
            </w:r>
          </w:p>
        </w:tc>
      </w:tr>
      <w:tr w:rsidR="005B013B" w:rsidRPr="005B013B" w:rsidTr="00C46053">
        <w:trPr>
          <w:trHeight w:val="659"/>
        </w:trPr>
        <w:tc>
          <w:tcPr>
            <w:tcW w:w="1351" w:type="dxa"/>
            <w:shd w:val="clear" w:color="auto" w:fill="000000"/>
            <w:vAlign w:val="center"/>
          </w:tcPr>
          <w:p w:rsidR="005B013B" w:rsidRPr="005B013B" w:rsidRDefault="00C46053" w:rsidP="00C46053">
            <w:pPr>
              <w:jc w:val="center"/>
              <w:rPr>
                <w:rFonts w:ascii="Calibri" w:hAnsi="Calibri" w:cs="Times New Roman"/>
                <w:color w:val="FFFFFF"/>
                <w:sz w:val="18"/>
                <w:szCs w:val="18"/>
              </w:rPr>
            </w:pPr>
            <w:r>
              <w:rPr>
                <w:rFonts w:ascii="Calibri" w:hAnsi="Calibri" w:cs="Times New Roman"/>
                <w:color w:val="FFFFFF"/>
                <w:sz w:val="18"/>
                <w:szCs w:val="18"/>
              </w:rPr>
              <w:t>SMT07</w:t>
            </w:r>
          </w:p>
        </w:tc>
        <w:tc>
          <w:tcPr>
            <w:tcW w:w="1571"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sidRPr="0089234F">
              <w:rPr>
                <w:rFonts w:ascii="Calibri" w:hAnsi="Calibri" w:cs="Times New Roman"/>
                <w:color w:val="FFFFFF"/>
                <w:sz w:val="18"/>
                <w:szCs w:val="18"/>
              </w:rPr>
              <w:t>7</w:t>
            </w:r>
            <w:r w:rsidRPr="0089234F">
              <w:rPr>
                <w:rFonts w:ascii="Calibri" w:hAnsi="Calibri" w:cs="Times New Roman"/>
                <w:color w:val="FFFFFF"/>
                <w:sz w:val="18"/>
                <w:szCs w:val="18"/>
              </w:rPr>
              <w:t>_Int0</w:t>
            </w:r>
            <w:r w:rsidR="0089234F" w:rsidRPr="0089234F">
              <w:rPr>
                <w:rFonts w:ascii="Calibri" w:hAnsi="Calibri" w:cs="Times New Roman"/>
                <w:color w:val="FFFFFF"/>
                <w:sz w:val="18"/>
                <w:szCs w:val="18"/>
              </w:rPr>
              <w:t>1</w:t>
            </w:r>
          </w:p>
        </w:tc>
        <w:tc>
          <w:tcPr>
            <w:tcW w:w="1572"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sidRPr="0089234F">
              <w:rPr>
                <w:rFonts w:ascii="Calibri" w:hAnsi="Calibri" w:cs="Times New Roman"/>
                <w:color w:val="FFFFFF"/>
                <w:sz w:val="18"/>
                <w:szCs w:val="18"/>
              </w:rPr>
              <w:t>7</w:t>
            </w:r>
            <w:r w:rsidRPr="0089234F">
              <w:rPr>
                <w:rFonts w:ascii="Calibri" w:hAnsi="Calibri" w:cs="Times New Roman"/>
                <w:color w:val="FFFFFF"/>
                <w:sz w:val="18"/>
                <w:szCs w:val="18"/>
              </w:rPr>
              <w:t>_Int0</w:t>
            </w:r>
            <w:r w:rsidR="0089234F" w:rsidRPr="0089234F">
              <w:rPr>
                <w:rFonts w:ascii="Calibri" w:hAnsi="Calibri" w:cs="Times New Roman"/>
                <w:color w:val="FFFFFF"/>
                <w:sz w:val="18"/>
                <w:szCs w:val="18"/>
              </w:rPr>
              <w:t>2</w:t>
            </w:r>
          </w:p>
        </w:tc>
        <w:tc>
          <w:tcPr>
            <w:tcW w:w="1571"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7</w:t>
            </w:r>
            <w:r w:rsidRPr="0089234F">
              <w:rPr>
                <w:rFonts w:ascii="Calibri" w:hAnsi="Calibri" w:cs="Times New Roman"/>
                <w:color w:val="FFFFFF"/>
                <w:sz w:val="18"/>
                <w:szCs w:val="18"/>
              </w:rPr>
              <w:t>_Int03</w:t>
            </w:r>
          </w:p>
        </w:tc>
        <w:tc>
          <w:tcPr>
            <w:tcW w:w="1572"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7</w:t>
            </w:r>
            <w:r w:rsidRPr="0089234F">
              <w:rPr>
                <w:rFonts w:ascii="Calibri" w:hAnsi="Calibri" w:cs="Times New Roman"/>
                <w:color w:val="FFFFFF"/>
                <w:sz w:val="18"/>
                <w:szCs w:val="18"/>
              </w:rPr>
              <w:t>_Int0</w:t>
            </w:r>
            <w:r w:rsidR="0089234F">
              <w:rPr>
                <w:rFonts w:ascii="Calibri" w:hAnsi="Calibri" w:cs="Times New Roman"/>
                <w:color w:val="FFFFFF"/>
                <w:sz w:val="18"/>
                <w:szCs w:val="18"/>
              </w:rPr>
              <w:t>4</w:t>
            </w:r>
          </w:p>
        </w:tc>
        <w:tc>
          <w:tcPr>
            <w:tcW w:w="1572"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7</w:t>
            </w:r>
            <w:r w:rsidRPr="0089234F">
              <w:rPr>
                <w:rFonts w:ascii="Calibri" w:hAnsi="Calibri" w:cs="Times New Roman"/>
                <w:color w:val="FFFFFF"/>
                <w:sz w:val="18"/>
                <w:szCs w:val="18"/>
              </w:rPr>
              <w:t>_Int0</w:t>
            </w:r>
            <w:r w:rsidR="0089234F">
              <w:rPr>
                <w:rFonts w:ascii="Calibri" w:hAnsi="Calibri" w:cs="Times New Roman"/>
                <w:color w:val="FFFFFF"/>
                <w:sz w:val="18"/>
                <w:szCs w:val="18"/>
              </w:rPr>
              <w:t>5</w:t>
            </w:r>
          </w:p>
        </w:tc>
      </w:tr>
      <w:tr w:rsidR="005B013B" w:rsidRPr="005B013B" w:rsidTr="00C46053">
        <w:trPr>
          <w:trHeight w:val="659"/>
        </w:trPr>
        <w:tc>
          <w:tcPr>
            <w:tcW w:w="1351" w:type="dxa"/>
            <w:shd w:val="clear" w:color="auto" w:fill="000000"/>
            <w:vAlign w:val="center"/>
          </w:tcPr>
          <w:p w:rsidR="005B013B" w:rsidRPr="005B013B" w:rsidRDefault="00C46053" w:rsidP="00C46053">
            <w:pPr>
              <w:jc w:val="center"/>
              <w:rPr>
                <w:rFonts w:ascii="Calibri" w:hAnsi="Calibri" w:cs="Times New Roman"/>
                <w:color w:val="FFFFFF"/>
                <w:sz w:val="18"/>
                <w:szCs w:val="18"/>
              </w:rPr>
            </w:pPr>
            <w:r>
              <w:rPr>
                <w:rFonts w:ascii="Calibri" w:hAnsi="Calibri" w:cs="Times New Roman"/>
                <w:color w:val="FFFFFF"/>
                <w:sz w:val="18"/>
                <w:szCs w:val="18"/>
              </w:rPr>
              <w:t>SMT08</w:t>
            </w:r>
          </w:p>
        </w:tc>
        <w:tc>
          <w:tcPr>
            <w:tcW w:w="1571"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sidRPr="0089234F">
              <w:rPr>
                <w:rFonts w:ascii="Calibri" w:hAnsi="Calibri" w:cs="Times New Roman"/>
                <w:color w:val="FFFFFF"/>
                <w:sz w:val="18"/>
                <w:szCs w:val="18"/>
              </w:rPr>
              <w:t>8</w:t>
            </w:r>
            <w:r w:rsidRPr="0089234F">
              <w:rPr>
                <w:rFonts w:ascii="Calibri" w:hAnsi="Calibri" w:cs="Times New Roman"/>
                <w:color w:val="FFFFFF"/>
                <w:sz w:val="18"/>
                <w:szCs w:val="18"/>
              </w:rPr>
              <w:t>_Int0</w:t>
            </w:r>
            <w:r w:rsidR="0089234F" w:rsidRPr="0089234F">
              <w:rPr>
                <w:rFonts w:ascii="Calibri" w:hAnsi="Calibri" w:cs="Times New Roman"/>
                <w:color w:val="FFFFFF"/>
                <w:sz w:val="18"/>
                <w:szCs w:val="18"/>
              </w:rPr>
              <w:t>1</w:t>
            </w:r>
          </w:p>
        </w:tc>
        <w:tc>
          <w:tcPr>
            <w:tcW w:w="1572"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sidRPr="0089234F">
              <w:rPr>
                <w:rFonts w:ascii="Calibri" w:hAnsi="Calibri" w:cs="Times New Roman"/>
                <w:color w:val="FFFFFF"/>
                <w:sz w:val="18"/>
                <w:szCs w:val="18"/>
              </w:rPr>
              <w:t>8</w:t>
            </w:r>
            <w:r w:rsidRPr="0089234F">
              <w:rPr>
                <w:rFonts w:ascii="Calibri" w:hAnsi="Calibri" w:cs="Times New Roman"/>
                <w:color w:val="FFFFFF"/>
                <w:sz w:val="18"/>
                <w:szCs w:val="18"/>
              </w:rPr>
              <w:t>_Int0</w:t>
            </w:r>
            <w:r w:rsidR="0089234F" w:rsidRPr="0089234F">
              <w:rPr>
                <w:rFonts w:ascii="Calibri" w:hAnsi="Calibri" w:cs="Times New Roman"/>
                <w:color w:val="FFFFFF"/>
                <w:sz w:val="18"/>
                <w:szCs w:val="18"/>
              </w:rPr>
              <w:t>2</w:t>
            </w:r>
          </w:p>
        </w:tc>
        <w:tc>
          <w:tcPr>
            <w:tcW w:w="1571"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8</w:t>
            </w:r>
            <w:r w:rsidRPr="0089234F">
              <w:rPr>
                <w:rFonts w:ascii="Calibri" w:hAnsi="Calibri" w:cs="Times New Roman"/>
                <w:color w:val="FFFFFF"/>
                <w:sz w:val="18"/>
                <w:szCs w:val="18"/>
              </w:rPr>
              <w:t>_Int03</w:t>
            </w:r>
          </w:p>
        </w:tc>
        <w:tc>
          <w:tcPr>
            <w:tcW w:w="1572"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8</w:t>
            </w:r>
            <w:r w:rsidRPr="0089234F">
              <w:rPr>
                <w:rFonts w:ascii="Calibri" w:hAnsi="Calibri" w:cs="Times New Roman"/>
                <w:color w:val="FFFFFF"/>
                <w:sz w:val="18"/>
                <w:szCs w:val="18"/>
              </w:rPr>
              <w:t>_Int0</w:t>
            </w:r>
            <w:r w:rsidR="0089234F">
              <w:rPr>
                <w:rFonts w:ascii="Calibri" w:hAnsi="Calibri" w:cs="Times New Roman"/>
                <w:color w:val="FFFFFF"/>
                <w:sz w:val="18"/>
                <w:szCs w:val="18"/>
              </w:rPr>
              <w:t>4</w:t>
            </w:r>
          </w:p>
        </w:tc>
        <w:tc>
          <w:tcPr>
            <w:tcW w:w="1572" w:type="dxa"/>
            <w:shd w:val="clear" w:color="auto" w:fill="808080" w:themeFill="background1" w:themeFillShade="80"/>
            <w:vAlign w:val="center"/>
          </w:tcPr>
          <w:p w:rsidR="005B013B" w:rsidRPr="005B013B" w:rsidRDefault="00C46053" w:rsidP="0089234F">
            <w:pPr>
              <w:jc w:val="center"/>
              <w:rPr>
                <w:rFonts w:ascii="Calibri" w:hAnsi="Calibri" w:cs="Times New Roman"/>
                <w:color w:val="FFFFFF"/>
                <w:sz w:val="18"/>
                <w:szCs w:val="18"/>
              </w:rPr>
            </w:pPr>
            <w:r w:rsidRPr="0089234F">
              <w:rPr>
                <w:rFonts w:ascii="Calibri" w:hAnsi="Calibri" w:cs="Times New Roman"/>
                <w:color w:val="FFFFFF"/>
                <w:sz w:val="18"/>
                <w:szCs w:val="18"/>
              </w:rPr>
              <w:t>SMT0</w:t>
            </w:r>
            <w:r w:rsidR="0089234F">
              <w:rPr>
                <w:rFonts w:ascii="Calibri" w:hAnsi="Calibri" w:cs="Times New Roman"/>
                <w:color w:val="FFFFFF"/>
                <w:sz w:val="18"/>
                <w:szCs w:val="18"/>
              </w:rPr>
              <w:t>8</w:t>
            </w:r>
            <w:r w:rsidRPr="0089234F">
              <w:rPr>
                <w:rFonts w:ascii="Calibri" w:hAnsi="Calibri" w:cs="Times New Roman"/>
                <w:color w:val="FFFFFF"/>
                <w:sz w:val="18"/>
                <w:szCs w:val="18"/>
              </w:rPr>
              <w:t>_Int0</w:t>
            </w:r>
            <w:r w:rsidR="0089234F">
              <w:rPr>
                <w:rFonts w:ascii="Calibri" w:hAnsi="Calibri" w:cs="Times New Roman"/>
                <w:color w:val="FFFFFF"/>
                <w:sz w:val="18"/>
                <w:szCs w:val="18"/>
              </w:rPr>
              <w:t>5</w:t>
            </w:r>
          </w:p>
        </w:tc>
      </w:tr>
    </w:tbl>
    <w:p w:rsidR="005B013B" w:rsidRDefault="005B013B" w:rsidP="00D37478">
      <w:pPr>
        <w:pStyle w:val="BodyA"/>
        <w:spacing w:after="360" w:line="312" w:lineRule="auto"/>
        <w:jc w:val="both"/>
      </w:pPr>
    </w:p>
    <w:p w:rsidR="0027731C" w:rsidRDefault="0027731C" w:rsidP="00D37478">
      <w:pPr>
        <w:pStyle w:val="BodyA"/>
        <w:spacing w:after="360" w:line="312" w:lineRule="auto"/>
        <w:jc w:val="both"/>
      </w:pPr>
    </w:p>
    <w:p w:rsidR="0027731C" w:rsidRDefault="0027731C" w:rsidP="00D37478">
      <w:pPr>
        <w:pStyle w:val="BodyA"/>
        <w:spacing w:after="360" w:line="312" w:lineRule="auto"/>
        <w:jc w:val="both"/>
      </w:pPr>
    </w:p>
    <w:p w:rsidR="0027731C" w:rsidRDefault="0027731C" w:rsidP="00D37478">
      <w:pPr>
        <w:pStyle w:val="BodyA"/>
        <w:spacing w:after="360" w:line="312" w:lineRule="auto"/>
        <w:jc w:val="both"/>
      </w:pPr>
    </w:p>
    <w:p w:rsidR="0027731C" w:rsidRDefault="0027731C" w:rsidP="00D37478">
      <w:pPr>
        <w:pStyle w:val="BodyA"/>
        <w:spacing w:after="360" w:line="312" w:lineRule="auto"/>
        <w:jc w:val="both"/>
      </w:pPr>
    </w:p>
    <w:p w:rsidR="0027731C" w:rsidRDefault="0027731C" w:rsidP="00D37478">
      <w:pPr>
        <w:pStyle w:val="BodyA"/>
        <w:spacing w:after="360" w:line="312" w:lineRule="auto"/>
        <w:jc w:val="both"/>
      </w:pPr>
    </w:p>
    <w:p w:rsidR="0027731C" w:rsidRDefault="0027731C" w:rsidP="00D37478">
      <w:pPr>
        <w:pStyle w:val="BodyA"/>
        <w:spacing w:after="360" w:line="312" w:lineRule="auto"/>
        <w:jc w:val="both"/>
      </w:pPr>
    </w:p>
    <w:p w:rsidR="0027731C" w:rsidRDefault="0027731C" w:rsidP="00D37478">
      <w:pPr>
        <w:pStyle w:val="BodyA"/>
        <w:spacing w:after="360" w:line="312" w:lineRule="auto"/>
        <w:jc w:val="both"/>
      </w:pPr>
    </w:p>
    <w:p w:rsidR="0027731C" w:rsidRDefault="0027731C" w:rsidP="00D37478">
      <w:pPr>
        <w:pStyle w:val="BodyA"/>
        <w:spacing w:after="360" w:line="312" w:lineRule="auto"/>
        <w:jc w:val="both"/>
      </w:pPr>
    </w:p>
    <w:p w:rsidR="009E1A2F" w:rsidRDefault="009E1A2F" w:rsidP="00D37478">
      <w:pPr>
        <w:pStyle w:val="BodyA"/>
        <w:spacing w:after="360" w:line="312" w:lineRule="auto"/>
        <w:jc w:val="both"/>
      </w:pPr>
      <w:r>
        <w:lastRenderedPageBreak/>
        <w:t>Second, the below table identifies the distribution of interviews with members of the Staff Group and Middle Manager participant groups</w:t>
      </w:r>
      <w:r w:rsidR="0027731C">
        <w:t xml:space="preserve"> who have been engaged multiple times</w:t>
      </w:r>
      <w:r>
        <w:t>;</w:t>
      </w:r>
    </w:p>
    <w:tbl>
      <w:tblPr>
        <w:tblStyle w:val="TableGrid"/>
        <w:tblpPr w:leftFromText="180" w:rightFromText="180" w:vertAnchor="text" w:horzAnchor="page" w:tblpX="1183" w:tblpY="235"/>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B8B7"/>
        <w:tblLook w:val="04A0" w:firstRow="1" w:lastRow="0" w:firstColumn="1" w:lastColumn="0" w:noHBand="0" w:noVBand="1"/>
      </w:tblPr>
      <w:tblGrid>
        <w:gridCol w:w="1351"/>
        <w:gridCol w:w="1964"/>
        <w:gridCol w:w="1965"/>
        <w:gridCol w:w="1964"/>
        <w:gridCol w:w="1965"/>
      </w:tblGrid>
      <w:tr w:rsidR="00906C76" w:rsidRPr="005B013B" w:rsidTr="0089234F">
        <w:trPr>
          <w:trHeight w:val="659"/>
        </w:trPr>
        <w:tc>
          <w:tcPr>
            <w:tcW w:w="1351" w:type="dxa"/>
            <w:shd w:val="clear" w:color="auto" w:fill="000000"/>
            <w:vAlign w:val="center"/>
          </w:tcPr>
          <w:p w:rsidR="0089234F" w:rsidRPr="005B013B" w:rsidRDefault="0089234F" w:rsidP="008A4989">
            <w:pPr>
              <w:jc w:val="center"/>
              <w:rPr>
                <w:rFonts w:ascii="Calibri" w:hAnsi="Calibri" w:cs="Times New Roman"/>
                <w:color w:val="FFFFFF"/>
                <w:sz w:val="18"/>
                <w:szCs w:val="18"/>
              </w:rPr>
            </w:pPr>
          </w:p>
        </w:tc>
        <w:tc>
          <w:tcPr>
            <w:tcW w:w="1964" w:type="dxa"/>
            <w:shd w:val="clear" w:color="auto" w:fill="000000"/>
            <w:vAlign w:val="center"/>
          </w:tcPr>
          <w:p w:rsidR="0089234F" w:rsidRPr="005B013B" w:rsidRDefault="0089234F" w:rsidP="00906C76">
            <w:pPr>
              <w:jc w:val="center"/>
              <w:rPr>
                <w:rFonts w:ascii="Calibri" w:hAnsi="Calibri" w:cs="Times New Roman"/>
                <w:i/>
                <w:color w:val="FFFFFF"/>
                <w:sz w:val="18"/>
                <w:szCs w:val="18"/>
              </w:rPr>
            </w:pPr>
            <w:r w:rsidRPr="005B013B">
              <w:rPr>
                <w:rFonts w:ascii="Calibri" w:hAnsi="Calibri" w:cs="Times New Roman"/>
                <w:i/>
                <w:color w:val="FFFFFF"/>
                <w:sz w:val="18"/>
                <w:szCs w:val="18"/>
              </w:rPr>
              <w:t xml:space="preserve">Sweep 1 </w:t>
            </w:r>
          </w:p>
        </w:tc>
        <w:tc>
          <w:tcPr>
            <w:tcW w:w="1965" w:type="dxa"/>
            <w:shd w:val="clear" w:color="auto" w:fill="000000"/>
            <w:vAlign w:val="center"/>
          </w:tcPr>
          <w:p w:rsidR="0089234F" w:rsidRPr="005B013B" w:rsidRDefault="0089234F" w:rsidP="00906C76">
            <w:pPr>
              <w:jc w:val="center"/>
              <w:rPr>
                <w:rFonts w:ascii="Calibri" w:hAnsi="Calibri" w:cs="Times New Roman"/>
                <w:i/>
                <w:color w:val="FFFFFF"/>
                <w:sz w:val="18"/>
                <w:szCs w:val="18"/>
              </w:rPr>
            </w:pPr>
            <w:r w:rsidRPr="005B013B">
              <w:rPr>
                <w:rFonts w:ascii="Calibri" w:hAnsi="Calibri" w:cs="Times New Roman"/>
                <w:i/>
                <w:color w:val="FFFFFF"/>
                <w:sz w:val="18"/>
                <w:szCs w:val="18"/>
              </w:rPr>
              <w:t xml:space="preserve">Sweep 2 </w:t>
            </w:r>
          </w:p>
        </w:tc>
        <w:tc>
          <w:tcPr>
            <w:tcW w:w="1964" w:type="dxa"/>
            <w:shd w:val="clear" w:color="auto" w:fill="000000"/>
            <w:vAlign w:val="center"/>
          </w:tcPr>
          <w:p w:rsidR="0089234F" w:rsidRPr="005B013B" w:rsidRDefault="0089234F" w:rsidP="00906C76">
            <w:pPr>
              <w:jc w:val="center"/>
              <w:rPr>
                <w:rFonts w:ascii="Calibri" w:hAnsi="Calibri" w:cs="Times New Roman"/>
                <w:i/>
                <w:color w:val="FFFFFF"/>
                <w:sz w:val="18"/>
                <w:szCs w:val="18"/>
              </w:rPr>
            </w:pPr>
            <w:r w:rsidRPr="005B013B">
              <w:rPr>
                <w:rFonts w:ascii="Calibri" w:hAnsi="Calibri" w:cs="Times New Roman"/>
                <w:i/>
                <w:color w:val="FFFFFF"/>
                <w:sz w:val="18"/>
                <w:szCs w:val="18"/>
              </w:rPr>
              <w:t>Sweep 3</w:t>
            </w:r>
          </w:p>
        </w:tc>
        <w:tc>
          <w:tcPr>
            <w:tcW w:w="1965" w:type="dxa"/>
            <w:shd w:val="clear" w:color="auto" w:fill="000000"/>
            <w:vAlign w:val="center"/>
          </w:tcPr>
          <w:p w:rsidR="0089234F" w:rsidRPr="005B013B" w:rsidRDefault="0089234F" w:rsidP="00906C76">
            <w:pPr>
              <w:jc w:val="center"/>
              <w:rPr>
                <w:rFonts w:ascii="Calibri" w:hAnsi="Calibri" w:cs="Times New Roman"/>
                <w:i/>
                <w:color w:val="FFFFFF"/>
                <w:sz w:val="18"/>
                <w:szCs w:val="18"/>
              </w:rPr>
            </w:pPr>
            <w:r w:rsidRPr="005B013B">
              <w:rPr>
                <w:rFonts w:ascii="Calibri" w:hAnsi="Calibri" w:cs="Times New Roman"/>
                <w:i/>
                <w:color w:val="FFFFFF"/>
                <w:sz w:val="18"/>
                <w:szCs w:val="18"/>
              </w:rPr>
              <w:t>Sweep 4</w:t>
            </w:r>
          </w:p>
        </w:tc>
      </w:tr>
      <w:tr w:rsidR="00906C76" w:rsidRPr="005B013B" w:rsidTr="0089234F">
        <w:trPr>
          <w:trHeight w:val="659"/>
        </w:trPr>
        <w:tc>
          <w:tcPr>
            <w:tcW w:w="1351" w:type="dxa"/>
            <w:shd w:val="clear" w:color="auto" w:fill="000000"/>
            <w:vAlign w:val="center"/>
          </w:tcPr>
          <w:p w:rsidR="0089234F" w:rsidRPr="005B013B" w:rsidRDefault="00906C76" w:rsidP="00906C76">
            <w:pPr>
              <w:jc w:val="center"/>
              <w:rPr>
                <w:rFonts w:ascii="Calibri" w:hAnsi="Calibri" w:cs="Times New Roman"/>
                <w:color w:val="FFFFFF"/>
                <w:sz w:val="18"/>
                <w:szCs w:val="18"/>
              </w:rPr>
            </w:pPr>
            <w:r>
              <w:rPr>
                <w:rFonts w:ascii="Calibri" w:hAnsi="Calibri" w:cs="Times New Roman"/>
                <w:color w:val="FFFFFF"/>
                <w:sz w:val="18"/>
                <w:szCs w:val="18"/>
              </w:rPr>
              <w:t>MM08</w:t>
            </w:r>
          </w:p>
        </w:tc>
        <w:tc>
          <w:tcPr>
            <w:tcW w:w="1964" w:type="dxa"/>
            <w:shd w:val="clear" w:color="auto" w:fill="808080" w:themeFill="background1" w:themeFillShade="8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MM08_Int01</w:t>
            </w:r>
          </w:p>
        </w:tc>
        <w:tc>
          <w:tcPr>
            <w:tcW w:w="1965" w:type="dxa"/>
            <w:shd w:val="clear" w:color="auto" w:fill="808080" w:themeFill="background1" w:themeFillShade="80"/>
            <w:vAlign w:val="center"/>
          </w:tcPr>
          <w:p w:rsidR="0089234F" w:rsidRPr="005B013B" w:rsidRDefault="0089234F" w:rsidP="008A4989">
            <w:pPr>
              <w:jc w:val="center"/>
              <w:rPr>
                <w:rFonts w:ascii="Calibri" w:hAnsi="Calibri" w:cs="Times New Roman"/>
                <w:color w:val="FFFFFF"/>
                <w:sz w:val="18"/>
                <w:szCs w:val="18"/>
              </w:rPr>
            </w:pPr>
          </w:p>
        </w:tc>
        <w:tc>
          <w:tcPr>
            <w:tcW w:w="1964" w:type="dxa"/>
            <w:shd w:val="clear" w:color="auto" w:fill="808080" w:themeFill="background1" w:themeFillShade="8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MM08_Int02</w:t>
            </w:r>
          </w:p>
        </w:tc>
        <w:tc>
          <w:tcPr>
            <w:tcW w:w="1965" w:type="dxa"/>
            <w:shd w:val="clear" w:color="auto" w:fill="808080" w:themeFill="background1" w:themeFillShade="8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MM08_Int03</w:t>
            </w:r>
          </w:p>
        </w:tc>
      </w:tr>
      <w:tr w:rsidR="00906C76" w:rsidRPr="005B013B" w:rsidTr="0089234F">
        <w:trPr>
          <w:trHeight w:val="659"/>
        </w:trPr>
        <w:tc>
          <w:tcPr>
            <w:tcW w:w="1351" w:type="dxa"/>
            <w:shd w:val="clear" w:color="auto" w:fill="00000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MM07</w:t>
            </w:r>
          </w:p>
        </w:tc>
        <w:tc>
          <w:tcPr>
            <w:tcW w:w="1964" w:type="dxa"/>
            <w:shd w:val="clear" w:color="auto" w:fill="808080" w:themeFill="background1" w:themeFillShade="80"/>
            <w:vAlign w:val="center"/>
          </w:tcPr>
          <w:p w:rsidR="0089234F" w:rsidRPr="005B013B" w:rsidRDefault="00906C76" w:rsidP="00906C76">
            <w:pPr>
              <w:jc w:val="center"/>
              <w:rPr>
                <w:rFonts w:ascii="Calibri" w:hAnsi="Calibri" w:cs="Times New Roman"/>
                <w:color w:val="FFFFFF"/>
                <w:sz w:val="18"/>
                <w:szCs w:val="18"/>
              </w:rPr>
            </w:pPr>
            <w:r>
              <w:rPr>
                <w:rFonts w:ascii="Calibri" w:hAnsi="Calibri" w:cs="Times New Roman"/>
                <w:color w:val="FFFFFF"/>
                <w:sz w:val="18"/>
                <w:szCs w:val="18"/>
              </w:rPr>
              <w:t>MM07_Int01</w:t>
            </w:r>
          </w:p>
        </w:tc>
        <w:tc>
          <w:tcPr>
            <w:tcW w:w="1965" w:type="dxa"/>
            <w:shd w:val="clear" w:color="auto" w:fill="808080" w:themeFill="background1" w:themeFillShade="80"/>
            <w:vAlign w:val="center"/>
          </w:tcPr>
          <w:p w:rsidR="0089234F" w:rsidRPr="005B013B" w:rsidRDefault="0089234F" w:rsidP="008A4989">
            <w:pPr>
              <w:jc w:val="center"/>
              <w:rPr>
                <w:rFonts w:ascii="Calibri" w:hAnsi="Calibri" w:cs="Times New Roman"/>
                <w:color w:val="FFFFFF"/>
                <w:sz w:val="18"/>
                <w:szCs w:val="18"/>
              </w:rPr>
            </w:pPr>
          </w:p>
        </w:tc>
        <w:tc>
          <w:tcPr>
            <w:tcW w:w="1964" w:type="dxa"/>
            <w:shd w:val="clear" w:color="auto" w:fill="808080" w:themeFill="background1" w:themeFillShade="80"/>
            <w:vAlign w:val="center"/>
          </w:tcPr>
          <w:p w:rsidR="0089234F" w:rsidRPr="005B013B" w:rsidRDefault="00906C76" w:rsidP="00906C76">
            <w:pPr>
              <w:jc w:val="center"/>
              <w:rPr>
                <w:rFonts w:ascii="Calibri" w:hAnsi="Calibri" w:cs="Times New Roman"/>
                <w:color w:val="FFFFFF"/>
                <w:sz w:val="18"/>
                <w:szCs w:val="18"/>
              </w:rPr>
            </w:pPr>
            <w:r>
              <w:rPr>
                <w:rFonts w:ascii="Calibri" w:hAnsi="Calibri" w:cs="Times New Roman"/>
                <w:color w:val="FFFFFF"/>
                <w:sz w:val="18"/>
                <w:szCs w:val="18"/>
              </w:rPr>
              <w:t>MM07_Int02</w:t>
            </w:r>
          </w:p>
        </w:tc>
        <w:tc>
          <w:tcPr>
            <w:tcW w:w="1965" w:type="dxa"/>
            <w:shd w:val="clear" w:color="auto" w:fill="808080" w:themeFill="background1" w:themeFillShade="80"/>
            <w:vAlign w:val="center"/>
          </w:tcPr>
          <w:p w:rsidR="0089234F" w:rsidRPr="005B013B" w:rsidRDefault="00906C76" w:rsidP="00906C76">
            <w:pPr>
              <w:jc w:val="center"/>
              <w:rPr>
                <w:rFonts w:ascii="Calibri" w:hAnsi="Calibri" w:cs="Times New Roman"/>
                <w:color w:val="FFFFFF"/>
                <w:sz w:val="18"/>
                <w:szCs w:val="18"/>
              </w:rPr>
            </w:pPr>
            <w:r>
              <w:rPr>
                <w:rFonts w:ascii="Calibri" w:hAnsi="Calibri" w:cs="Times New Roman"/>
                <w:color w:val="FFFFFF"/>
                <w:sz w:val="18"/>
                <w:szCs w:val="18"/>
              </w:rPr>
              <w:t>MM07_Int03</w:t>
            </w:r>
          </w:p>
        </w:tc>
      </w:tr>
      <w:tr w:rsidR="00906C76" w:rsidRPr="005B013B" w:rsidTr="0089234F">
        <w:trPr>
          <w:trHeight w:val="659"/>
        </w:trPr>
        <w:tc>
          <w:tcPr>
            <w:tcW w:w="1351" w:type="dxa"/>
            <w:shd w:val="clear" w:color="auto" w:fill="00000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MM06</w:t>
            </w:r>
          </w:p>
        </w:tc>
        <w:tc>
          <w:tcPr>
            <w:tcW w:w="1964" w:type="dxa"/>
            <w:shd w:val="clear" w:color="auto" w:fill="808080" w:themeFill="background1" w:themeFillShade="8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MM06_Int01</w:t>
            </w:r>
          </w:p>
        </w:tc>
        <w:tc>
          <w:tcPr>
            <w:tcW w:w="1965" w:type="dxa"/>
            <w:shd w:val="clear" w:color="auto" w:fill="808080" w:themeFill="background1" w:themeFillShade="80"/>
            <w:vAlign w:val="center"/>
          </w:tcPr>
          <w:p w:rsidR="0089234F" w:rsidRPr="005B013B" w:rsidRDefault="0089234F" w:rsidP="008A4989">
            <w:pPr>
              <w:jc w:val="center"/>
              <w:rPr>
                <w:rFonts w:ascii="Calibri" w:hAnsi="Calibri" w:cs="Times New Roman"/>
                <w:color w:val="FFFFFF"/>
                <w:sz w:val="18"/>
                <w:szCs w:val="18"/>
              </w:rPr>
            </w:pPr>
          </w:p>
        </w:tc>
        <w:tc>
          <w:tcPr>
            <w:tcW w:w="1964" w:type="dxa"/>
            <w:shd w:val="clear" w:color="auto" w:fill="808080" w:themeFill="background1" w:themeFillShade="8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MM06_Int02</w:t>
            </w:r>
          </w:p>
        </w:tc>
        <w:tc>
          <w:tcPr>
            <w:tcW w:w="1965" w:type="dxa"/>
            <w:shd w:val="clear" w:color="auto" w:fill="808080" w:themeFill="background1" w:themeFillShade="8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MM06_Int03</w:t>
            </w:r>
          </w:p>
        </w:tc>
      </w:tr>
      <w:tr w:rsidR="00906C76" w:rsidRPr="005B013B" w:rsidTr="0089234F">
        <w:trPr>
          <w:trHeight w:val="659"/>
        </w:trPr>
        <w:tc>
          <w:tcPr>
            <w:tcW w:w="1351" w:type="dxa"/>
            <w:shd w:val="clear" w:color="auto" w:fill="00000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MM04</w:t>
            </w:r>
          </w:p>
        </w:tc>
        <w:tc>
          <w:tcPr>
            <w:tcW w:w="1964" w:type="dxa"/>
            <w:shd w:val="clear" w:color="auto" w:fill="808080" w:themeFill="background1" w:themeFillShade="8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MM04_Int01</w:t>
            </w:r>
          </w:p>
        </w:tc>
        <w:tc>
          <w:tcPr>
            <w:tcW w:w="1965" w:type="dxa"/>
            <w:shd w:val="clear" w:color="auto" w:fill="808080" w:themeFill="background1" w:themeFillShade="80"/>
            <w:vAlign w:val="center"/>
          </w:tcPr>
          <w:p w:rsidR="0089234F" w:rsidRPr="005B013B" w:rsidRDefault="0089234F" w:rsidP="008A4989">
            <w:pPr>
              <w:jc w:val="center"/>
              <w:rPr>
                <w:rFonts w:ascii="Calibri" w:hAnsi="Calibri" w:cs="Times New Roman"/>
                <w:color w:val="FFFFFF"/>
                <w:sz w:val="18"/>
                <w:szCs w:val="18"/>
              </w:rPr>
            </w:pPr>
          </w:p>
        </w:tc>
        <w:tc>
          <w:tcPr>
            <w:tcW w:w="1964" w:type="dxa"/>
            <w:shd w:val="clear" w:color="auto" w:fill="808080" w:themeFill="background1" w:themeFillShade="80"/>
            <w:vAlign w:val="center"/>
          </w:tcPr>
          <w:p w:rsidR="0089234F" w:rsidRPr="005B013B" w:rsidRDefault="00906C76" w:rsidP="00906C76">
            <w:pPr>
              <w:jc w:val="center"/>
              <w:rPr>
                <w:rFonts w:ascii="Calibri" w:hAnsi="Calibri" w:cs="Times New Roman"/>
                <w:color w:val="FFFFFF"/>
                <w:sz w:val="18"/>
                <w:szCs w:val="18"/>
              </w:rPr>
            </w:pPr>
            <w:r>
              <w:rPr>
                <w:rFonts w:ascii="Calibri" w:hAnsi="Calibri" w:cs="Times New Roman"/>
                <w:color w:val="FFFFFF"/>
                <w:sz w:val="18"/>
                <w:szCs w:val="18"/>
              </w:rPr>
              <w:t>MM04_Int02</w:t>
            </w:r>
          </w:p>
        </w:tc>
        <w:tc>
          <w:tcPr>
            <w:tcW w:w="1965" w:type="dxa"/>
            <w:shd w:val="clear" w:color="auto" w:fill="808080" w:themeFill="background1" w:themeFillShade="8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MM04_Int03</w:t>
            </w:r>
          </w:p>
        </w:tc>
      </w:tr>
      <w:tr w:rsidR="00906C76" w:rsidRPr="005B013B" w:rsidTr="0089234F">
        <w:trPr>
          <w:trHeight w:val="659"/>
        </w:trPr>
        <w:tc>
          <w:tcPr>
            <w:tcW w:w="1351" w:type="dxa"/>
            <w:shd w:val="clear" w:color="auto" w:fill="00000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SG21</w:t>
            </w:r>
          </w:p>
        </w:tc>
        <w:tc>
          <w:tcPr>
            <w:tcW w:w="1964" w:type="dxa"/>
            <w:shd w:val="clear" w:color="auto" w:fill="808080" w:themeFill="background1" w:themeFillShade="80"/>
            <w:vAlign w:val="center"/>
          </w:tcPr>
          <w:p w:rsidR="0089234F" w:rsidRPr="005B013B" w:rsidRDefault="0089234F" w:rsidP="00906C76">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SG21_FG</w:t>
            </w:r>
          </w:p>
        </w:tc>
        <w:tc>
          <w:tcPr>
            <w:tcW w:w="1964" w:type="dxa"/>
            <w:shd w:val="clear" w:color="auto" w:fill="808080" w:themeFill="background1" w:themeFillShade="80"/>
            <w:vAlign w:val="center"/>
          </w:tcPr>
          <w:p w:rsidR="0089234F" w:rsidRPr="005B013B" w:rsidRDefault="00906C76" w:rsidP="00906C76">
            <w:pPr>
              <w:jc w:val="center"/>
              <w:rPr>
                <w:rFonts w:ascii="Calibri" w:hAnsi="Calibri" w:cs="Times New Roman"/>
                <w:color w:val="FFFFFF"/>
                <w:sz w:val="18"/>
                <w:szCs w:val="18"/>
              </w:rPr>
            </w:pPr>
            <w:r>
              <w:rPr>
                <w:rFonts w:ascii="Calibri" w:hAnsi="Calibri" w:cs="Times New Roman"/>
                <w:color w:val="FFFFFF"/>
                <w:sz w:val="18"/>
                <w:szCs w:val="18"/>
              </w:rPr>
              <w:t>SG21_Int01</w:t>
            </w:r>
          </w:p>
        </w:tc>
        <w:tc>
          <w:tcPr>
            <w:tcW w:w="1965" w:type="dxa"/>
            <w:shd w:val="clear" w:color="auto" w:fill="808080" w:themeFill="background1" w:themeFillShade="80"/>
            <w:vAlign w:val="center"/>
          </w:tcPr>
          <w:p w:rsidR="0089234F" w:rsidRPr="005B013B" w:rsidRDefault="00906C76" w:rsidP="00906C76">
            <w:pPr>
              <w:jc w:val="center"/>
              <w:rPr>
                <w:rFonts w:ascii="Calibri" w:hAnsi="Calibri" w:cs="Times New Roman"/>
                <w:color w:val="FFFFFF"/>
                <w:sz w:val="18"/>
                <w:szCs w:val="18"/>
              </w:rPr>
            </w:pPr>
            <w:r>
              <w:rPr>
                <w:rFonts w:ascii="Calibri" w:hAnsi="Calibri" w:cs="Times New Roman"/>
                <w:color w:val="FFFFFF"/>
                <w:sz w:val="18"/>
                <w:szCs w:val="18"/>
              </w:rPr>
              <w:t>SG21_Int</w:t>
            </w:r>
            <w:r w:rsidR="0089234F" w:rsidRPr="0089234F">
              <w:rPr>
                <w:rFonts w:ascii="Calibri" w:hAnsi="Calibri" w:cs="Times New Roman"/>
                <w:color w:val="FFFFFF"/>
                <w:sz w:val="18"/>
                <w:szCs w:val="18"/>
              </w:rPr>
              <w:t>0</w:t>
            </w:r>
            <w:r>
              <w:rPr>
                <w:rFonts w:ascii="Calibri" w:hAnsi="Calibri" w:cs="Times New Roman"/>
                <w:color w:val="FFFFFF"/>
                <w:sz w:val="18"/>
                <w:szCs w:val="18"/>
              </w:rPr>
              <w:t>3</w:t>
            </w:r>
          </w:p>
        </w:tc>
      </w:tr>
      <w:tr w:rsidR="00906C76" w:rsidRPr="005B013B" w:rsidTr="0089234F">
        <w:trPr>
          <w:trHeight w:val="659"/>
        </w:trPr>
        <w:tc>
          <w:tcPr>
            <w:tcW w:w="1351" w:type="dxa"/>
            <w:shd w:val="clear" w:color="auto" w:fill="00000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SG25</w:t>
            </w:r>
          </w:p>
        </w:tc>
        <w:tc>
          <w:tcPr>
            <w:tcW w:w="1964" w:type="dxa"/>
            <w:shd w:val="clear" w:color="auto" w:fill="808080" w:themeFill="background1" w:themeFillShade="80"/>
            <w:vAlign w:val="center"/>
          </w:tcPr>
          <w:p w:rsidR="0089234F" w:rsidRPr="005B013B" w:rsidRDefault="0089234F"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SG25_FG</w:t>
            </w:r>
          </w:p>
        </w:tc>
        <w:tc>
          <w:tcPr>
            <w:tcW w:w="1964" w:type="dxa"/>
            <w:shd w:val="clear" w:color="auto" w:fill="808080" w:themeFill="background1" w:themeFillShade="8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SG25_Int01</w:t>
            </w:r>
          </w:p>
        </w:tc>
        <w:tc>
          <w:tcPr>
            <w:tcW w:w="1965" w:type="dxa"/>
            <w:shd w:val="clear" w:color="auto" w:fill="808080" w:themeFill="background1" w:themeFillShade="8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SG25_Int03</w:t>
            </w:r>
          </w:p>
        </w:tc>
      </w:tr>
      <w:tr w:rsidR="00906C76" w:rsidRPr="005B013B" w:rsidTr="0089234F">
        <w:trPr>
          <w:trHeight w:val="659"/>
        </w:trPr>
        <w:tc>
          <w:tcPr>
            <w:tcW w:w="1351" w:type="dxa"/>
            <w:shd w:val="clear" w:color="auto" w:fill="000000"/>
            <w:vAlign w:val="center"/>
          </w:tcPr>
          <w:p w:rsidR="0089234F" w:rsidRPr="005B013B" w:rsidRDefault="00906C76" w:rsidP="008A4989">
            <w:pPr>
              <w:jc w:val="center"/>
              <w:rPr>
                <w:rFonts w:ascii="Calibri" w:hAnsi="Calibri" w:cs="Times New Roman"/>
                <w:color w:val="FFFFFF"/>
                <w:sz w:val="18"/>
                <w:szCs w:val="18"/>
              </w:rPr>
            </w:pPr>
            <w:r>
              <w:rPr>
                <w:rFonts w:ascii="Calibri" w:hAnsi="Calibri" w:cs="Times New Roman"/>
                <w:color w:val="FFFFFF"/>
                <w:sz w:val="18"/>
                <w:szCs w:val="18"/>
              </w:rPr>
              <w:t>SG03</w:t>
            </w:r>
          </w:p>
        </w:tc>
        <w:tc>
          <w:tcPr>
            <w:tcW w:w="1964" w:type="dxa"/>
            <w:shd w:val="clear" w:color="auto" w:fill="808080" w:themeFill="background1" w:themeFillShade="80"/>
            <w:vAlign w:val="center"/>
          </w:tcPr>
          <w:p w:rsidR="0089234F"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SG03</w:t>
            </w:r>
            <w:r w:rsidR="0089234F" w:rsidRPr="0089234F">
              <w:rPr>
                <w:rFonts w:ascii="Calibri" w:hAnsi="Calibri" w:cs="Times New Roman"/>
                <w:color w:val="FFFFFF"/>
                <w:sz w:val="18"/>
                <w:szCs w:val="18"/>
              </w:rPr>
              <w:t>_Int01</w:t>
            </w:r>
          </w:p>
        </w:tc>
        <w:tc>
          <w:tcPr>
            <w:tcW w:w="1965" w:type="dxa"/>
            <w:shd w:val="clear" w:color="auto" w:fill="808080" w:themeFill="background1" w:themeFillShade="80"/>
            <w:vAlign w:val="center"/>
          </w:tcPr>
          <w:p w:rsidR="0089234F"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SG03_Int02</w:t>
            </w:r>
          </w:p>
        </w:tc>
        <w:tc>
          <w:tcPr>
            <w:tcW w:w="1964" w:type="dxa"/>
            <w:shd w:val="clear" w:color="auto" w:fill="808080" w:themeFill="background1" w:themeFillShade="80"/>
            <w:vAlign w:val="center"/>
          </w:tcPr>
          <w:p w:rsidR="0089234F"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SG03</w:t>
            </w:r>
            <w:r w:rsidR="0089234F" w:rsidRPr="0089234F">
              <w:rPr>
                <w:rFonts w:ascii="Calibri" w:hAnsi="Calibri" w:cs="Times New Roman"/>
                <w:color w:val="FFFFFF"/>
                <w:sz w:val="18"/>
                <w:szCs w:val="18"/>
              </w:rPr>
              <w:t>_Int03</w:t>
            </w:r>
          </w:p>
        </w:tc>
        <w:tc>
          <w:tcPr>
            <w:tcW w:w="1965" w:type="dxa"/>
            <w:shd w:val="clear" w:color="auto" w:fill="808080" w:themeFill="background1" w:themeFillShade="80"/>
            <w:vAlign w:val="center"/>
          </w:tcPr>
          <w:p w:rsidR="0089234F"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SG04</w:t>
            </w:r>
            <w:r w:rsidR="0089234F" w:rsidRPr="0089234F">
              <w:rPr>
                <w:rFonts w:ascii="Calibri" w:hAnsi="Calibri" w:cs="Times New Roman"/>
                <w:color w:val="FFFFFF"/>
                <w:sz w:val="18"/>
                <w:szCs w:val="18"/>
              </w:rPr>
              <w:t>_Int0</w:t>
            </w:r>
            <w:r w:rsidR="0089234F">
              <w:rPr>
                <w:rFonts w:ascii="Calibri" w:hAnsi="Calibri" w:cs="Times New Roman"/>
                <w:color w:val="FFFFFF"/>
                <w:sz w:val="18"/>
                <w:szCs w:val="18"/>
              </w:rPr>
              <w:t>4</w:t>
            </w:r>
          </w:p>
        </w:tc>
      </w:tr>
      <w:tr w:rsidR="00906C76" w:rsidRPr="005B013B" w:rsidTr="0089234F">
        <w:trPr>
          <w:trHeight w:val="659"/>
        </w:trPr>
        <w:tc>
          <w:tcPr>
            <w:tcW w:w="1351" w:type="dxa"/>
            <w:shd w:val="clear" w:color="auto" w:fill="000000"/>
            <w:vAlign w:val="center"/>
          </w:tcPr>
          <w:p w:rsidR="0089234F"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MM19</w:t>
            </w:r>
          </w:p>
        </w:tc>
        <w:tc>
          <w:tcPr>
            <w:tcW w:w="1964" w:type="dxa"/>
            <w:shd w:val="clear" w:color="auto" w:fill="808080" w:themeFill="background1" w:themeFillShade="80"/>
            <w:vAlign w:val="center"/>
          </w:tcPr>
          <w:p w:rsidR="0089234F" w:rsidRPr="005B013B" w:rsidRDefault="0089234F"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89234F"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MM19_Int01</w:t>
            </w:r>
          </w:p>
        </w:tc>
        <w:tc>
          <w:tcPr>
            <w:tcW w:w="1964" w:type="dxa"/>
            <w:shd w:val="clear" w:color="auto" w:fill="808080" w:themeFill="background1" w:themeFillShade="80"/>
            <w:vAlign w:val="center"/>
          </w:tcPr>
          <w:p w:rsidR="0089234F" w:rsidRPr="005B013B" w:rsidRDefault="0089234F"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89234F"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MM19_Int02</w:t>
            </w:r>
          </w:p>
        </w:tc>
      </w:tr>
      <w:tr w:rsidR="0027731C" w:rsidRPr="005B013B" w:rsidTr="0089234F">
        <w:trPr>
          <w:trHeight w:val="659"/>
        </w:trPr>
        <w:tc>
          <w:tcPr>
            <w:tcW w:w="1351" w:type="dxa"/>
            <w:shd w:val="clear" w:color="auto" w:fill="00000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MM10</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MM10_Int01</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MM10_Int02</w:t>
            </w:r>
          </w:p>
        </w:tc>
      </w:tr>
      <w:tr w:rsidR="0027731C" w:rsidRPr="005B013B" w:rsidTr="0089234F">
        <w:trPr>
          <w:trHeight w:val="659"/>
        </w:trPr>
        <w:tc>
          <w:tcPr>
            <w:tcW w:w="1351" w:type="dxa"/>
            <w:shd w:val="clear" w:color="auto" w:fill="00000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MM11</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MM11_Int01</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MM11_FG</w:t>
            </w: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p>
        </w:tc>
      </w:tr>
      <w:tr w:rsidR="0027731C" w:rsidRPr="005B013B" w:rsidTr="0089234F">
        <w:trPr>
          <w:trHeight w:val="659"/>
        </w:trPr>
        <w:tc>
          <w:tcPr>
            <w:tcW w:w="1351" w:type="dxa"/>
            <w:shd w:val="clear" w:color="auto" w:fill="00000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MM18</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MM18_FG</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MM18_FG</w:t>
            </w: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MM18_Int01</w:t>
            </w:r>
          </w:p>
        </w:tc>
      </w:tr>
      <w:tr w:rsidR="0027731C" w:rsidRPr="005B013B" w:rsidTr="0089234F">
        <w:trPr>
          <w:trHeight w:val="659"/>
        </w:trPr>
        <w:tc>
          <w:tcPr>
            <w:tcW w:w="1351" w:type="dxa"/>
            <w:shd w:val="clear" w:color="auto" w:fill="00000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MM20</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MM20_FG</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MM20_Int01</w:t>
            </w:r>
          </w:p>
        </w:tc>
      </w:tr>
      <w:tr w:rsidR="0027731C" w:rsidRPr="005B013B" w:rsidTr="0089234F">
        <w:trPr>
          <w:trHeight w:val="659"/>
        </w:trPr>
        <w:tc>
          <w:tcPr>
            <w:tcW w:w="1351" w:type="dxa"/>
            <w:shd w:val="clear" w:color="auto" w:fill="00000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MM09</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MM09_Int01</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MM09_Int02</w:t>
            </w:r>
          </w:p>
        </w:tc>
      </w:tr>
      <w:tr w:rsidR="0027731C" w:rsidRPr="005B013B" w:rsidTr="0089234F">
        <w:trPr>
          <w:trHeight w:val="659"/>
        </w:trPr>
        <w:tc>
          <w:tcPr>
            <w:tcW w:w="1351" w:type="dxa"/>
            <w:shd w:val="clear" w:color="auto" w:fill="00000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SG06</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SG06_FG</w:t>
            </w: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SG06_Int01</w:t>
            </w: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p>
        </w:tc>
      </w:tr>
      <w:tr w:rsidR="0027731C" w:rsidRPr="005B013B" w:rsidTr="0089234F">
        <w:trPr>
          <w:trHeight w:val="659"/>
        </w:trPr>
        <w:tc>
          <w:tcPr>
            <w:tcW w:w="1351" w:type="dxa"/>
            <w:shd w:val="clear" w:color="auto" w:fill="00000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SG07</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SG07_Int01</w:t>
            </w: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SG07_Int02</w:t>
            </w:r>
          </w:p>
        </w:tc>
      </w:tr>
      <w:tr w:rsidR="0027731C" w:rsidRPr="005B013B" w:rsidTr="0089234F">
        <w:trPr>
          <w:trHeight w:val="659"/>
        </w:trPr>
        <w:tc>
          <w:tcPr>
            <w:tcW w:w="1351" w:type="dxa"/>
            <w:shd w:val="clear" w:color="auto" w:fill="00000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SG31</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SG31_Int01</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SG31_Int02</w:t>
            </w: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p>
        </w:tc>
      </w:tr>
      <w:tr w:rsidR="0027731C" w:rsidRPr="005B013B" w:rsidTr="0089234F">
        <w:trPr>
          <w:trHeight w:val="659"/>
        </w:trPr>
        <w:tc>
          <w:tcPr>
            <w:tcW w:w="1351" w:type="dxa"/>
            <w:shd w:val="clear" w:color="auto" w:fill="00000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SG12</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SG12_Int01</w:t>
            </w: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p>
        </w:tc>
        <w:tc>
          <w:tcPr>
            <w:tcW w:w="1964"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SG12_Int02</w:t>
            </w: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p>
        </w:tc>
      </w:tr>
      <w:tr w:rsidR="0027731C" w:rsidRPr="005B013B" w:rsidTr="0089234F">
        <w:trPr>
          <w:trHeight w:val="659"/>
        </w:trPr>
        <w:tc>
          <w:tcPr>
            <w:tcW w:w="1351" w:type="dxa"/>
            <w:shd w:val="clear" w:color="auto" w:fill="00000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lastRenderedPageBreak/>
              <w:t>SG27</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SG27_FG</w:t>
            </w:r>
          </w:p>
        </w:tc>
        <w:tc>
          <w:tcPr>
            <w:tcW w:w="1964"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SG_Int01</w:t>
            </w: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p>
        </w:tc>
      </w:tr>
      <w:tr w:rsidR="0027731C" w:rsidRPr="005B013B" w:rsidTr="0089234F">
        <w:trPr>
          <w:trHeight w:val="659"/>
        </w:trPr>
        <w:tc>
          <w:tcPr>
            <w:tcW w:w="1351" w:type="dxa"/>
            <w:shd w:val="clear" w:color="auto" w:fill="00000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SG33</w:t>
            </w:r>
          </w:p>
        </w:tc>
        <w:tc>
          <w:tcPr>
            <w:tcW w:w="1964" w:type="dxa"/>
            <w:shd w:val="clear" w:color="auto" w:fill="808080" w:themeFill="background1" w:themeFillShade="80"/>
            <w:vAlign w:val="center"/>
          </w:tcPr>
          <w:p w:rsidR="0027731C" w:rsidRPr="005B013B" w:rsidRDefault="0027731C" w:rsidP="008A4989">
            <w:pPr>
              <w:jc w:val="center"/>
              <w:rPr>
                <w:rFonts w:ascii="Calibri" w:hAnsi="Calibri" w:cs="Times New Roman"/>
                <w:color w:val="FFFFFF"/>
                <w:sz w:val="18"/>
                <w:szCs w:val="18"/>
              </w:rPr>
            </w:pP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SG33_FG</w:t>
            </w:r>
          </w:p>
        </w:tc>
        <w:tc>
          <w:tcPr>
            <w:tcW w:w="1964"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r>
              <w:rPr>
                <w:rFonts w:ascii="Calibri" w:hAnsi="Calibri" w:cs="Times New Roman"/>
                <w:color w:val="FFFFFF"/>
                <w:sz w:val="18"/>
                <w:szCs w:val="18"/>
              </w:rPr>
              <w:t>SG33_Int01</w:t>
            </w:r>
          </w:p>
        </w:tc>
        <w:tc>
          <w:tcPr>
            <w:tcW w:w="1965" w:type="dxa"/>
            <w:shd w:val="clear" w:color="auto" w:fill="808080" w:themeFill="background1" w:themeFillShade="80"/>
            <w:vAlign w:val="center"/>
          </w:tcPr>
          <w:p w:rsidR="0027731C" w:rsidRDefault="0027731C" w:rsidP="008A4989">
            <w:pPr>
              <w:jc w:val="center"/>
              <w:rPr>
                <w:rFonts w:ascii="Calibri" w:hAnsi="Calibri" w:cs="Times New Roman"/>
                <w:color w:val="FFFFFF"/>
                <w:sz w:val="18"/>
                <w:szCs w:val="18"/>
              </w:rPr>
            </w:pPr>
          </w:p>
        </w:tc>
      </w:tr>
    </w:tbl>
    <w:p w:rsidR="009E1A2F" w:rsidRDefault="009E1A2F" w:rsidP="00D37478">
      <w:pPr>
        <w:pStyle w:val="BodyA"/>
        <w:spacing w:after="360" w:line="312" w:lineRule="auto"/>
        <w:jc w:val="both"/>
      </w:pPr>
    </w:p>
    <w:p w:rsidR="0027731C" w:rsidRDefault="0027731C" w:rsidP="0027731C">
      <w:pPr>
        <w:rPr>
          <w:lang w:val="en-US"/>
        </w:rPr>
      </w:pPr>
    </w:p>
    <w:p w:rsidR="0027731C" w:rsidRDefault="0027731C" w:rsidP="0027731C">
      <w:pPr>
        <w:rPr>
          <w:lang w:val="en-US"/>
        </w:rPr>
      </w:pPr>
    </w:p>
    <w:p w:rsidR="0027731C" w:rsidRPr="0027731C" w:rsidRDefault="0027731C" w:rsidP="0027731C">
      <w:pPr>
        <w:rPr>
          <w:lang w:val="en-US"/>
        </w:rPr>
      </w:pPr>
      <w:r>
        <w:rPr>
          <w:lang w:val="en-US"/>
        </w:rPr>
        <w:t>Third</w:t>
      </w:r>
      <w:r w:rsidRPr="0027731C">
        <w:rPr>
          <w:lang w:val="en-US"/>
        </w:rPr>
        <w:t>, the below table identifies the distribution of interviews with members of the Staff Group and Middle Manager participant groups who have been engaged multiple times;</w:t>
      </w:r>
    </w:p>
    <w:p w:rsidR="0089234F" w:rsidRDefault="0089234F" w:rsidP="0089234F"/>
    <w:tbl>
      <w:tblPr>
        <w:tblStyle w:val="TableGrid"/>
        <w:tblpPr w:leftFromText="180" w:rightFromText="180" w:vertAnchor="text" w:horzAnchor="margin" w:tblpX="-714" w:tblpY="166"/>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ayout w:type="fixed"/>
        <w:tblLook w:val="04A0" w:firstRow="1" w:lastRow="0" w:firstColumn="1" w:lastColumn="0" w:noHBand="0" w:noVBand="1"/>
      </w:tblPr>
      <w:tblGrid>
        <w:gridCol w:w="1416"/>
        <w:gridCol w:w="1417"/>
        <w:gridCol w:w="1417"/>
        <w:gridCol w:w="1417"/>
        <w:gridCol w:w="1417"/>
        <w:gridCol w:w="1417"/>
        <w:gridCol w:w="1417"/>
      </w:tblGrid>
      <w:tr w:rsidR="00906C76" w:rsidRPr="00BC3706" w:rsidTr="00906C76">
        <w:trPr>
          <w:trHeight w:hRule="exact" w:val="567"/>
        </w:trPr>
        <w:tc>
          <w:tcPr>
            <w:tcW w:w="1416" w:type="dxa"/>
            <w:shd w:val="clear" w:color="auto" w:fill="000000" w:themeFill="text1"/>
            <w:vAlign w:val="center"/>
          </w:tcPr>
          <w:p w:rsidR="0089234F" w:rsidRPr="00BC3706" w:rsidRDefault="00906C76" w:rsidP="0032453E">
            <w:pPr>
              <w:jc w:val="center"/>
              <w:rPr>
                <w:color w:val="7F7F7F" w:themeColor="text1" w:themeTint="80"/>
                <w:sz w:val="18"/>
                <w:szCs w:val="18"/>
              </w:rPr>
            </w:pPr>
            <w:r>
              <w:rPr>
                <w:color w:val="FFFFFF" w:themeColor="background1"/>
                <w:sz w:val="18"/>
                <w:szCs w:val="18"/>
              </w:rPr>
              <w:t>Sweep 1</w:t>
            </w:r>
          </w:p>
        </w:tc>
        <w:tc>
          <w:tcPr>
            <w:tcW w:w="1417" w:type="dxa"/>
            <w:shd w:val="clear" w:color="auto" w:fill="FFFFFF" w:themeFill="background1"/>
            <w:vAlign w:val="center"/>
          </w:tcPr>
          <w:p w:rsidR="0089234F" w:rsidRPr="00BC3706" w:rsidRDefault="0089234F" w:rsidP="0032453E">
            <w:pPr>
              <w:jc w:val="center"/>
              <w:rPr>
                <w:color w:val="7F7F7F" w:themeColor="text1" w:themeTint="80"/>
                <w:sz w:val="18"/>
                <w:szCs w:val="18"/>
              </w:rPr>
            </w:pPr>
          </w:p>
        </w:tc>
        <w:tc>
          <w:tcPr>
            <w:tcW w:w="1417" w:type="dxa"/>
            <w:shd w:val="clear" w:color="auto" w:fill="000000" w:themeFill="text1"/>
            <w:vAlign w:val="center"/>
          </w:tcPr>
          <w:p w:rsidR="0089234F" w:rsidRPr="00BC3706" w:rsidRDefault="00906C76" w:rsidP="00906C76">
            <w:pPr>
              <w:jc w:val="center"/>
              <w:rPr>
                <w:color w:val="7F7F7F" w:themeColor="text1" w:themeTint="80"/>
                <w:sz w:val="18"/>
                <w:szCs w:val="18"/>
              </w:rPr>
            </w:pPr>
            <w:r>
              <w:rPr>
                <w:color w:val="FFFFFF" w:themeColor="background1"/>
                <w:sz w:val="18"/>
                <w:szCs w:val="18"/>
              </w:rPr>
              <w:t>Sweep 2</w:t>
            </w:r>
          </w:p>
        </w:tc>
        <w:tc>
          <w:tcPr>
            <w:tcW w:w="1417" w:type="dxa"/>
            <w:shd w:val="clear" w:color="auto" w:fill="FFFFFF" w:themeFill="background1"/>
            <w:vAlign w:val="center"/>
          </w:tcPr>
          <w:p w:rsidR="0089234F" w:rsidRPr="00BC3706" w:rsidRDefault="0089234F" w:rsidP="0032453E">
            <w:pPr>
              <w:jc w:val="center"/>
              <w:rPr>
                <w:color w:val="7F7F7F" w:themeColor="text1" w:themeTint="80"/>
                <w:sz w:val="18"/>
                <w:szCs w:val="18"/>
              </w:rPr>
            </w:pPr>
          </w:p>
        </w:tc>
        <w:tc>
          <w:tcPr>
            <w:tcW w:w="1417" w:type="dxa"/>
            <w:shd w:val="clear" w:color="auto" w:fill="000000" w:themeFill="text1"/>
            <w:vAlign w:val="center"/>
          </w:tcPr>
          <w:p w:rsidR="0089234F" w:rsidRPr="00BC3706" w:rsidRDefault="00906C76" w:rsidP="00906C76">
            <w:pPr>
              <w:jc w:val="center"/>
              <w:rPr>
                <w:color w:val="7F7F7F" w:themeColor="text1" w:themeTint="80"/>
                <w:sz w:val="18"/>
                <w:szCs w:val="18"/>
              </w:rPr>
            </w:pPr>
            <w:r>
              <w:rPr>
                <w:color w:val="FFFFFF" w:themeColor="background1"/>
                <w:sz w:val="18"/>
                <w:szCs w:val="18"/>
              </w:rPr>
              <w:t>Sweep 3</w:t>
            </w:r>
          </w:p>
        </w:tc>
        <w:tc>
          <w:tcPr>
            <w:tcW w:w="1417" w:type="dxa"/>
            <w:shd w:val="clear" w:color="auto" w:fill="FFFFFF" w:themeFill="background1"/>
            <w:vAlign w:val="center"/>
          </w:tcPr>
          <w:p w:rsidR="0089234F" w:rsidRPr="00BC3706" w:rsidRDefault="0089234F" w:rsidP="0032453E">
            <w:pPr>
              <w:jc w:val="center"/>
              <w:rPr>
                <w:color w:val="7F7F7F" w:themeColor="text1" w:themeTint="80"/>
                <w:sz w:val="18"/>
                <w:szCs w:val="18"/>
              </w:rPr>
            </w:pPr>
          </w:p>
        </w:tc>
        <w:tc>
          <w:tcPr>
            <w:tcW w:w="1417" w:type="dxa"/>
            <w:shd w:val="clear" w:color="auto" w:fill="000000" w:themeFill="text1"/>
            <w:vAlign w:val="center"/>
          </w:tcPr>
          <w:p w:rsidR="0089234F" w:rsidRPr="00BC3706" w:rsidRDefault="00906C76" w:rsidP="00906C76">
            <w:pPr>
              <w:jc w:val="center"/>
              <w:rPr>
                <w:color w:val="7F7F7F" w:themeColor="text1" w:themeTint="80"/>
                <w:sz w:val="18"/>
                <w:szCs w:val="18"/>
              </w:rPr>
            </w:pPr>
            <w:r>
              <w:rPr>
                <w:color w:val="FFFFFF" w:themeColor="background1"/>
                <w:sz w:val="18"/>
                <w:szCs w:val="18"/>
              </w:rPr>
              <w:t>Sweep 4</w:t>
            </w:r>
          </w:p>
        </w:tc>
      </w:tr>
      <w:tr w:rsidR="00906C76" w:rsidRPr="00BC3706" w:rsidTr="00906C76">
        <w:trPr>
          <w:trHeight w:hRule="exact" w:val="567"/>
        </w:trPr>
        <w:tc>
          <w:tcPr>
            <w:tcW w:w="1416"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MM02</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SG20</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SG24</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SG34</w:t>
            </w:r>
          </w:p>
        </w:tc>
      </w:tr>
      <w:tr w:rsidR="00906C76" w:rsidRPr="00BC3706" w:rsidTr="00906C76">
        <w:trPr>
          <w:trHeight w:hRule="exact" w:val="567"/>
        </w:trPr>
        <w:tc>
          <w:tcPr>
            <w:tcW w:w="1416"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SG05</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SG18</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SG23</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MM16</w:t>
            </w:r>
          </w:p>
        </w:tc>
      </w:tr>
      <w:tr w:rsidR="00906C76" w:rsidRPr="00BC3706" w:rsidTr="00906C76">
        <w:trPr>
          <w:trHeight w:hRule="exact" w:val="567"/>
        </w:trPr>
        <w:tc>
          <w:tcPr>
            <w:tcW w:w="1416"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SG08</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SG15</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SG26</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SG32</w:t>
            </w:r>
          </w:p>
        </w:tc>
      </w:tr>
      <w:tr w:rsidR="00906C76" w:rsidRPr="0086222D" w:rsidTr="00906C76">
        <w:trPr>
          <w:trHeight w:hRule="exact" w:val="567"/>
        </w:trPr>
        <w:tc>
          <w:tcPr>
            <w:tcW w:w="1416" w:type="dxa"/>
            <w:shd w:val="clear" w:color="auto" w:fill="7B7B7B" w:themeFill="accent3" w:themeFillShade="BF"/>
            <w:vAlign w:val="center"/>
          </w:tcPr>
          <w:p w:rsidR="0089234F" w:rsidRPr="0027731C" w:rsidRDefault="00603137" w:rsidP="00603137">
            <w:pPr>
              <w:jc w:val="center"/>
              <w:rPr>
                <w:color w:val="FFFFFF" w:themeColor="background1"/>
                <w:sz w:val="18"/>
                <w:szCs w:val="18"/>
              </w:rPr>
            </w:pPr>
            <w:r w:rsidRPr="0027731C">
              <w:rPr>
                <w:color w:val="FFFFFF" w:themeColor="background1"/>
                <w:sz w:val="18"/>
                <w:szCs w:val="18"/>
              </w:rPr>
              <w:t>SG12</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SG14</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SG28</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lang w:val="fr-FR"/>
              </w:rPr>
            </w:pPr>
            <w:r w:rsidRPr="0027731C">
              <w:rPr>
                <w:color w:val="FFFFFF" w:themeColor="background1"/>
                <w:sz w:val="18"/>
                <w:szCs w:val="18"/>
              </w:rPr>
              <w:t>MM17</w:t>
            </w:r>
          </w:p>
        </w:tc>
      </w:tr>
      <w:tr w:rsidR="00906C76" w:rsidRPr="00BC3706" w:rsidTr="00906C76">
        <w:trPr>
          <w:trHeight w:hRule="exact" w:val="567"/>
        </w:trPr>
        <w:tc>
          <w:tcPr>
            <w:tcW w:w="1416"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SG01</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SG22</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auto"/>
            <w:vAlign w:val="center"/>
          </w:tcPr>
          <w:p w:rsidR="0089234F" w:rsidRPr="0027731C" w:rsidRDefault="0089234F" w:rsidP="0032453E">
            <w:pPr>
              <w:jc w:val="center"/>
              <w:rPr>
                <w:color w:val="FFFFFF" w:themeColor="background1"/>
                <w:sz w:val="18"/>
                <w:szCs w:val="18"/>
              </w:rPr>
            </w:pP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MM14</w:t>
            </w:r>
          </w:p>
        </w:tc>
      </w:tr>
      <w:tr w:rsidR="00906C76" w:rsidRPr="00BC3706" w:rsidTr="00906C76">
        <w:trPr>
          <w:trHeight w:hRule="exact" w:val="567"/>
        </w:trPr>
        <w:tc>
          <w:tcPr>
            <w:tcW w:w="1416"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MM01</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SG17</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auto"/>
            <w:vAlign w:val="center"/>
          </w:tcPr>
          <w:p w:rsidR="0089234F" w:rsidRPr="0027731C" w:rsidRDefault="0089234F" w:rsidP="0032453E">
            <w:pPr>
              <w:jc w:val="center"/>
              <w:rPr>
                <w:color w:val="FFFFFF" w:themeColor="background1"/>
                <w:sz w:val="18"/>
                <w:szCs w:val="18"/>
              </w:rPr>
            </w:pP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SG38</w:t>
            </w:r>
          </w:p>
        </w:tc>
      </w:tr>
      <w:tr w:rsidR="00906C76" w:rsidRPr="00BC3706" w:rsidTr="00906C76">
        <w:trPr>
          <w:trHeight w:hRule="exact" w:val="567"/>
        </w:trPr>
        <w:tc>
          <w:tcPr>
            <w:tcW w:w="1416"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MM04</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SG19</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auto"/>
            <w:vAlign w:val="center"/>
          </w:tcPr>
          <w:p w:rsidR="0089234F" w:rsidRPr="0027731C" w:rsidRDefault="0089234F" w:rsidP="0032453E">
            <w:pPr>
              <w:rPr>
                <w:color w:val="FFFFFF" w:themeColor="background1"/>
                <w:sz w:val="18"/>
                <w:szCs w:val="18"/>
              </w:rPr>
            </w:pP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lang w:val="fr-FR"/>
              </w:rPr>
              <w:t>MM15</w:t>
            </w:r>
          </w:p>
        </w:tc>
      </w:tr>
      <w:tr w:rsidR="00906C76" w:rsidRPr="00BC3706" w:rsidTr="00906C76">
        <w:trPr>
          <w:trHeight w:hRule="exact" w:val="567"/>
        </w:trPr>
        <w:tc>
          <w:tcPr>
            <w:tcW w:w="1416"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SG11</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MM12</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auto"/>
            <w:vAlign w:val="center"/>
          </w:tcPr>
          <w:p w:rsidR="0089234F" w:rsidRPr="0027731C" w:rsidRDefault="0089234F" w:rsidP="0032453E">
            <w:pPr>
              <w:rPr>
                <w:color w:val="FFFFFF" w:themeColor="background1"/>
                <w:sz w:val="18"/>
                <w:szCs w:val="18"/>
              </w:rPr>
            </w:pP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SG35</w:t>
            </w:r>
          </w:p>
        </w:tc>
      </w:tr>
      <w:tr w:rsidR="00906C76" w:rsidRPr="00BC3706" w:rsidTr="0027731C">
        <w:trPr>
          <w:trHeight w:hRule="exact" w:val="567"/>
        </w:trPr>
        <w:tc>
          <w:tcPr>
            <w:tcW w:w="1416"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SG13</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auto"/>
            <w:vAlign w:val="center"/>
          </w:tcPr>
          <w:p w:rsidR="0089234F" w:rsidRPr="0027731C" w:rsidRDefault="0089234F" w:rsidP="0032453E">
            <w:pPr>
              <w:jc w:val="center"/>
              <w:rPr>
                <w:color w:val="FFFFFF" w:themeColor="background1"/>
                <w:sz w:val="18"/>
                <w:szCs w:val="18"/>
              </w:rPr>
            </w:pP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auto"/>
            <w:vAlign w:val="center"/>
          </w:tcPr>
          <w:p w:rsidR="0089234F" w:rsidRPr="0027731C" w:rsidRDefault="0089234F" w:rsidP="0032453E">
            <w:pPr>
              <w:rPr>
                <w:color w:val="FFFFFF" w:themeColor="background1"/>
                <w:sz w:val="18"/>
                <w:szCs w:val="18"/>
              </w:rPr>
            </w:pP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SG36</w:t>
            </w:r>
          </w:p>
        </w:tc>
      </w:tr>
      <w:tr w:rsidR="00906C76" w:rsidRPr="0086222D" w:rsidTr="00906C76">
        <w:trPr>
          <w:trHeight w:hRule="exact" w:val="567"/>
        </w:trPr>
        <w:tc>
          <w:tcPr>
            <w:tcW w:w="1416"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MM03</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auto"/>
            <w:vAlign w:val="center"/>
          </w:tcPr>
          <w:p w:rsidR="0089234F" w:rsidRPr="0027731C" w:rsidRDefault="0089234F" w:rsidP="0032453E">
            <w:pPr>
              <w:jc w:val="center"/>
              <w:rPr>
                <w:color w:val="FFFFFF" w:themeColor="background1"/>
                <w:sz w:val="18"/>
                <w:szCs w:val="18"/>
              </w:rPr>
            </w:pP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auto"/>
            <w:vAlign w:val="center"/>
          </w:tcPr>
          <w:p w:rsidR="0089234F" w:rsidRPr="0027731C" w:rsidRDefault="0089234F" w:rsidP="0032453E">
            <w:pPr>
              <w:jc w:val="center"/>
              <w:rPr>
                <w:color w:val="FFFFFF" w:themeColor="background1"/>
                <w:sz w:val="18"/>
                <w:szCs w:val="18"/>
              </w:rPr>
            </w:pP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7B7B7B" w:themeFill="accent3" w:themeFillShade="BF"/>
            <w:vAlign w:val="center"/>
          </w:tcPr>
          <w:p w:rsidR="0089234F" w:rsidRPr="0027731C" w:rsidRDefault="00603137" w:rsidP="0032453E">
            <w:pPr>
              <w:jc w:val="center"/>
              <w:rPr>
                <w:color w:val="FFFFFF" w:themeColor="background1"/>
                <w:sz w:val="18"/>
                <w:szCs w:val="18"/>
                <w:lang w:val="es-ES"/>
              </w:rPr>
            </w:pPr>
            <w:r w:rsidRPr="0027731C">
              <w:rPr>
                <w:color w:val="FFFFFF" w:themeColor="background1"/>
                <w:sz w:val="18"/>
                <w:szCs w:val="18"/>
                <w:lang w:val="es-ES"/>
              </w:rPr>
              <w:t>MM13</w:t>
            </w:r>
          </w:p>
        </w:tc>
      </w:tr>
      <w:tr w:rsidR="00906C76" w:rsidRPr="00BC3706" w:rsidTr="00906C76">
        <w:trPr>
          <w:trHeight w:hRule="exact" w:val="567"/>
        </w:trPr>
        <w:tc>
          <w:tcPr>
            <w:tcW w:w="1416" w:type="dxa"/>
            <w:shd w:val="clear" w:color="auto" w:fill="7B7B7B" w:themeFill="accent3" w:themeFillShade="BF"/>
            <w:vAlign w:val="center"/>
          </w:tcPr>
          <w:p w:rsidR="0089234F" w:rsidRPr="0027731C" w:rsidRDefault="00603137" w:rsidP="0032453E">
            <w:pPr>
              <w:jc w:val="center"/>
              <w:rPr>
                <w:color w:val="FFFFFF" w:themeColor="background1"/>
                <w:sz w:val="18"/>
                <w:szCs w:val="18"/>
              </w:rPr>
            </w:pPr>
            <w:r w:rsidRPr="0027731C">
              <w:rPr>
                <w:color w:val="FFFFFF" w:themeColor="background1"/>
                <w:sz w:val="18"/>
                <w:szCs w:val="18"/>
              </w:rPr>
              <w:t>SG</w:t>
            </w:r>
            <w:r w:rsidR="0027731C" w:rsidRPr="0027731C">
              <w:rPr>
                <w:color w:val="FFFFFF" w:themeColor="background1"/>
                <w:sz w:val="18"/>
                <w:szCs w:val="18"/>
              </w:rPr>
              <w:t>16</w:t>
            </w: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FFFFFF" w:themeFill="background1"/>
            <w:vAlign w:val="center"/>
          </w:tcPr>
          <w:p w:rsidR="0089234F" w:rsidRPr="0027731C" w:rsidRDefault="0089234F" w:rsidP="0032453E">
            <w:pPr>
              <w:jc w:val="center"/>
              <w:rPr>
                <w:color w:val="FFFFFF" w:themeColor="background1"/>
                <w:sz w:val="18"/>
                <w:szCs w:val="18"/>
              </w:rPr>
            </w:pPr>
          </w:p>
        </w:tc>
        <w:tc>
          <w:tcPr>
            <w:tcW w:w="1417" w:type="dxa"/>
            <w:shd w:val="clear" w:color="auto" w:fill="FFFFFF" w:themeFill="background1"/>
            <w:vAlign w:val="center"/>
          </w:tcPr>
          <w:p w:rsidR="0089234F" w:rsidRPr="0027731C" w:rsidRDefault="0089234F" w:rsidP="0032453E">
            <w:pPr>
              <w:jc w:val="center"/>
              <w:rPr>
                <w:color w:val="7F7F7F" w:themeColor="text1" w:themeTint="80"/>
                <w:sz w:val="18"/>
                <w:szCs w:val="18"/>
              </w:rPr>
            </w:pPr>
          </w:p>
        </w:tc>
        <w:tc>
          <w:tcPr>
            <w:tcW w:w="1417" w:type="dxa"/>
            <w:shd w:val="clear" w:color="auto" w:fill="FFFFFF" w:themeFill="background1"/>
            <w:vAlign w:val="center"/>
          </w:tcPr>
          <w:p w:rsidR="0089234F" w:rsidRPr="0027731C" w:rsidRDefault="0089234F" w:rsidP="0032453E">
            <w:pPr>
              <w:jc w:val="center"/>
              <w:rPr>
                <w:color w:val="FFFFFF" w:themeColor="background1"/>
                <w:sz w:val="18"/>
                <w:szCs w:val="18"/>
              </w:rPr>
            </w:pPr>
          </w:p>
        </w:tc>
        <w:tc>
          <w:tcPr>
            <w:tcW w:w="1417" w:type="dxa"/>
            <w:shd w:val="clear" w:color="auto" w:fill="FFFFFF" w:themeFill="background1"/>
            <w:vAlign w:val="center"/>
          </w:tcPr>
          <w:p w:rsidR="0089234F" w:rsidRPr="0027731C" w:rsidRDefault="0089234F" w:rsidP="0032453E">
            <w:pPr>
              <w:rPr>
                <w:color w:val="7F7F7F" w:themeColor="text1" w:themeTint="80"/>
                <w:sz w:val="18"/>
                <w:szCs w:val="18"/>
              </w:rPr>
            </w:pPr>
          </w:p>
        </w:tc>
        <w:tc>
          <w:tcPr>
            <w:tcW w:w="1417" w:type="dxa"/>
            <w:shd w:val="clear" w:color="auto" w:fill="auto"/>
            <w:vAlign w:val="center"/>
          </w:tcPr>
          <w:p w:rsidR="0089234F" w:rsidRPr="0027731C" w:rsidRDefault="0089234F" w:rsidP="0032453E">
            <w:pPr>
              <w:jc w:val="center"/>
              <w:rPr>
                <w:color w:val="FFFFFF" w:themeColor="background1"/>
                <w:sz w:val="18"/>
                <w:szCs w:val="18"/>
              </w:rPr>
            </w:pPr>
          </w:p>
        </w:tc>
      </w:tr>
      <w:tr w:rsidR="00906C76" w:rsidRPr="00FE6B98" w:rsidTr="00906C76">
        <w:trPr>
          <w:trHeight w:hRule="exact" w:val="567"/>
        </w:trPr>
        <w:tc>
          <w:tcPr>
            <w:tcW w:w="1416" w:type="dxa"/>
            <w:shd w:val="clear" w:color="auto" w:fill="auto"/>
            <w:vAlign w:val="center"/>
          </w:tcPr>
          <w:p w:rsidR="0089234F" w:rsidRPr="00063427" w:rsidRDefault="0089234F" w:rsidP="0032453E">
            <w:pPr>
              <w:jc w:val="center"/>
              <w:rPr>
                <w:color w:val="FFFFFF" w:themeColor="background1"/>
                <w:sz w:val="18"/>
                <w:szCs w:val="18"/>
                <w:u w:val="single"/>
                <w:lang w:val="fr-FR"/>
              </w:rPr>
            </w:pPr>
          </w:p>
        </w:tc>
        <w:tc>
          <w:tcPr>
            <w:tcW w:w="1417" w:type="dxa"/>
            <w:shd w:val="clear" w:color="auto" w:fill="FFFFFF" w:themeFill="background1"/>
            <w:vAlign w:val="center"/>
          </w:tcPr>
          <w:p w:rsidR="0089234F" w:rsidRPr="00063427" w:rsidRDefault="0089234F" w:rsidP="0032453E">
            <w:pPr>
              <w:jc w:val="center"/>
              <w:rPr>
                <w:color w:val="7F7F7F" w:themeColor="text1" w:themeTint="80"/>
                <w:sz w:val="18"/>
                <w:szCs w:val="18"/>
                <w:lang w:val="fr-FR"/>
              </w:rPr>
            </w:pPr>
          </w:p>
        </w:tc>
        <w:tc>
          <w:tcPr>
            <w:tcW w:w="1417" w:type="dxa"/>
            <w:shd w:val="clear" w:color="auto" w:fill="FFFFFF" w:themeFill="background1"/>
            <w:vAlign w:val="center"/>
          </w:tcPr>
          <w:p w:rsidR="0089234F" w:rsidRPr="00225E4D" w:rsidRDefault="0089234F" w:rsidP="0032453E">
            <w:pPr>
              <w:jc w:val="center"/>
              <w:rPr>
                <w:color w:val="FFFFFF" w:themeColor="background1"/>
                <w:sz w:val="18"/>
                <w:szCs w:val="18"/>
                <w:lang w:val="fr-FR"/>
              </w:rPr>
            </w:pPr>
          </w:p>
        </w:tc>
        <w:tc>
          <w:tcPr>
            <w:tcW w:w="1417" w:type="dxa"/>
            <w:shd w:val="clear" w:color="auto" w:fill="FFFFFF" w:themeFill="background1"/>
            <w:vAlign w:val="center"/>
          </w:tcPr>
          <w:p w:rsidR="0089234F" w:rsidRPr="00225E4D" w:rsidRDefault="0089234F" w:rsidP="0032453E">
            <w:pPr>
              <w:jc w:val="center"/>
              <w:rPr>
                <w:color w:val="7F7F7F" w:themeColor="text1" w:themeTint="80"/>
                <w:sz w:val="18"/>
                <w:szCs w:val="18"/>
                <w:lang w:val="fr-FR"/>
              </w:rPr>
            </w:pPr>
          </w:p>
        </w:tc>
        <w:tc>
          <w:tcPr>
            <w:tcW w:w="1417" w:type="dxa"/>
            <w:shd w:val="clear" w:color="auto" w:fill="auto"/>
            <w:vAlign w:val="center"/>
          </w:tcPr>
          <w:p w:rsidR="0089234F" w:rsidRPr="00225E4D" w:rsidRDefault="0089234F" w:rsidP="0032453E">
            <w:pPr>
              <w:jc w:val="center"/>
              <w:rPr>
                <w:color w:val="FFFFFF" w:themeColor="background1"/>
                <w:sz w:val="18"/>
                <w:szCs w:val="18"/>
                <w:lang w:val="fr-FR"/>
              </w:rPr>
            </w:pPr>
          </w:p>
        </w:tc>
        <w:tc>
          <w:tcPr>
            <w:tcW w:w="1417" w:type="dxa"/>
            <w:shd w:val="clear" w:color="auto" w:fill="auto"/>
            <w:vAlign w:val="center"/>
          </w:tcPr>
          <w:p w:rsidR="0089234F" w:rsidRPr="00225E4D" w:rsidRDefault="0089234F" w:rsidP="0032453E">
            <w:pPr>
              <w:jc w:val="center"/>
              <w:rPr>
                <w:color w:val="7F7F7F" w:themeColor="text1" w:themeTint="80"/>
                <w:sz w:val="18"/>
                <w:szCs w:val="18"/>
                <w:lang w:val="fr-FR"/>
              </w:rPr>
            </w:pPr>
          </w:p>
        </w:tc>
        <w:tc>
          <w:tcPr>
            <w:tcW w:w="1417" w:type="dxa"/>
            <w:shd w:val="clear" w:color="auto" w:fill="auto"/>
            <w:vAlign w:val="center"/>
          </w:tcPr>
          <w:p w:rsidR="0089234F" w:rsidRPr="00225E4D" w:rsidRDefault="0089234F" w:rsidP="0032453E">
            <w:pPr>
              <w:jc w:val="center"/>
              <w:rPr>
                <w:color w:val="FFFFFF" w:themeColor="background1"/>
                <w:sz w:val="18"/>
                <w:szCs w:val="18"/>
                <w:lang w:val="fr-FR"/>
              </w:rPr>
            </w:pPr>
          </w:p>
        </w:tc>
      </w:tr>
    </w:tbl>
    <w:p w:rsidR="0089234F" w:rsidRPr="00877636" w:rsidRDefault="00877636">
      <w:pPr>
        <w:rPr>
          <w:b/>
          <w:i/>
        </w:rPr>
      </w:pPr>
      <w:r w:rsidRPr="00877636">
        <w:rPr>
          <w:b/>
          <w:i/>
        </w:rPr>
        <w:t>Abbreviations Used within the Interviews;</w:t>
      </w:r>
    </w:p>
    <w:p w:rsidR="00877636" w:rsidRDefault="00877636">
      <w:r>
        <w:t>CRC – Community Rehabilitation Company</w:t>
      </w:r>
    </w:p>
    <w:p w:rsidR="00877636" w:rsidRDefault="00877636">
      <w:r>
        <w:t>NPS - National Probation Service</w:t>
      </w:r>
    </w:p>
    <w:p w:rsidR="00877636" w:rsidRDefault="00877636">
      <w:r>
        <w:t>MoJ – Ministry of Justice</w:t>
      </w:r>
      <w:bookmarkStart w:id="0" w:name="_GoBack"/>
      <w:bookmarkEnd w:id="0"/>
    </w:p>
    <w:p w:rsidR="00877636" w:rsidRPr="00877636" w:rsidRDefault="00877636">
      <w:r>
        <w:t>TR – Transforming Rehabilitation</w:t>
      </w:r>
    </w:p>
    <w:sectPr w:rsidR="00877636" w:rsidRPr="008776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39A" w:rsidRDefault="00E3439A" w:rsidP="00E3439A">
      <w:pPr>
        <w:spacing w:after="0" w:line="240" w:lineRule="auto"/>
      </w:pPr>
      <w:r>
        <w:separator/>
      </w:r>
    </w:p>
  </w:endnote>
  <w:endnote w:type="continuationSeparator" w:id="0">
    <w:p w:rsidR="00E3439A" w:rsidRDefault="00E3439A" w:rsidP="00E3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39A" w:rsidRDefault="00E3439A" w:rsidP="00E3439A">
      <w:pPr>
        <w:spacing w:after="0" w:line="240" w:lineRule="auto"/>
      </w:pPr>
      <w:r>
        <w:separator/>
      </w:r>
    </w:p>
  </w:footnote>
  <w:footnote w:type="continuationSeparator" w:id="0">
    <w:p w:rsidR="00E3439A" w:rsidRDefault="00E3439A" w:rsidP="00E34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CF"/>
    <w:rsid w:val="00131FBA"/>
    <w:rsid w:val="00186F40"/>
    <w:rsid w:val="0027731C"/>
    <w:rsid w:val="0032453E"/>
    <w:rsid w:val="005B013B"/>
    <w:rsid w:val="00603137"/>
    <w:rsid w:val="00877636"/>
    <w:rsid w:val="0089234F"/>
    <w:rsid w:val="00906C76"/>
    <w:rsid w:val="009452CF"/>
    <w:rsid w:val="009E1A2F"/>
    <w:rsid w:val="00C46053"/>
    <w:rsid w:val="00D37478"/>
    <w:rsid w:val="00E3439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4BABBA-1DC2-4605-A84A-98C4FFB3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2CF"/>
    <w:rPr>
      <w:color w:val="0563C1" w:themeColor="hyperlink"/>
      <w:u w:val="single"/>
    </w:rPr>
  </w:style>
  <w:style w:type="paragraph" w:customStyle="1" w:styleId="BodyA">
    <w:name w:val="Body A"/>
    <w:rsid w:val="00D37478"/>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table" w:styleId="TableGrid">
    <w:name w:val="Table Grid"/>
    <w:basedOn w:val="TableNormal"/>
    <w:uiPriority w:val="59"/>
    <w:rsid w:val="005B013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39A"/>
  </w:style>
  <w:style w:type="paragraph" w:styleId="Footer">
    <w:name w:val="footer"/>
    <w:basedOn w:val="Normal"/>
    <w:link w:val="FooterChar"/>
    <w:uiPriority w:val="99"/>
    <w:unhideWhenUsed/>
    <w:rsid w:val="00E34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01937">
      <w:bodyDiv w:val="1"/>
      <w:marLeft w:val="0"/>
      <w:marRight w:val="0"/>
      <w:marTop w:val="0"/>
      <w:marBottom w:val="0"/>
      <w:divBdr>
        <w:top w:val="none" w:sz="0" w:space="0" w:color="auto"/>
        <w:left w:val="none" w:sz="0" w:space="0" w:color="auto"/>
        <w:bottom w:val="none" w:sz="0" w:space="0" w:color="auto"/>
        <w:right w:val="none" w:sz="0" w:space="0" w:color="auto"/>
      </w:divBdr>
    </w:div>
    <w:div w:id="878854789">
      <w:bodyDiv w:val="1"/>
      <w:marLeft w:val="0"/>
      <w:marRight w:val="0"/>
      <w:marTop w:val="0"/>
      <w:marBottom w:val="0"/>
      <w:divBdr>
        <w:top w:val="none" w:sz="0" w:space="0" w:color="auto"/>
        <w:left w:val="none" w:sz="0" w:space="0" w:color="auto"/>
        <w:bottom w:val="none" w:sz="0" w:space="0" w:color="auto"/>
        <w:right w:val="none" w:sz="0" w:space="0" w:color="auto"/>
      </w:divBdr>
    </w:div>
    <w:div w:id="1112553495">
      <w:bodyDiv w:val="1"/>
      <w:marLeft w:val="0"/>
      <w:marRight w:val="0"/>
      <w:marTop w:val="0"/>
      <w:marBottom w:val="0"/>
      <w:divBdr>
        <w:top w:val="none" w:sz="0" w:space="0" w:color="auto"/>
        <w:left w:val="none" w:sz="0" w:space="0" w:color="auto"/>
        <w:bottom w:val="none" w:sz="0" w:space="0" w:color="auto"/>
        <w:right w:val="none" w:sz="0" w:space="0" w:color="auto"/>
      </w:divBdr>
    </w:div>
    <w:div w:id="12896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Millings, Matthew</dc:creator>
  <cp:keywords/>
  <dc:description/>
  <cp:lastModifiedBy>Millings, Matthew</cp:lastModifiedBy>
  <cp:revision>3</cp:revision>
  <dcterms:created xsi:type="dcterms:W3CDTF">2016-02-08T12:07:00Z</dcterms:created>
  <dcterms:modified xsi:type="dcterms:W3CDTF">2016-02-08T15:43:00Z</dcterms:modified>
</cp:coreProperties>
</file>